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color w:val="auto"/>
          <w:sz w:val="32"/>
          <w:szCs w:val="32"/>
          <w:highlight w:val="none"/>
          <w:shd w:val="clear" w:color="auto" w:fill="FFFFFF"/>
          <w:lang w:val="en-US" w:eastAsia="zh-CN"/>
        </w:rPr>
        <w:t>采购内容及要求</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采购内容及要求</w:t>
      </w:r>
    </w:p>
    <w:p>
      <w:pPr>
        <w:pStyle w:val="10"/>
        <w:spacing w:line="46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一、（根据本项目实际情况，填写“采购标的”或“项目概况”）</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720" w:firstLineChars="300"/>
        <w:jc w:val="left"/>
        <w:textAlignment w:val="auto"/>
        <w:rPr>
          <w:rFonts w:hint="eastAsia" w:ascii="宋体" w:hAnsi="宋体" w:eastAsia="宋体" w:cs="宋体"/>
          <w:b w:val="0"/>
          <w:bCs w:val="0"/>
          <w:color w:val="auto"/>
          <w:sz w:val="24"/>
          <w:highlight w:val="none"/>
          <w:lang w:eastAsia="zh-CN"/>
        </w:rPr>
      </w:pPr>
      <w:r>
        <w:rPr>
          <w:rFonts w:hint="eastAsia" w:ascii="宋体" w:hAnsi="宋体" w:eastAsia="宋体" w:cs="宋体"/>
          <w:b w:val="0"/>
          <w:bCs w:val="0"/>
          <w:color w:val="auto"/>
          <w:sz w:val="24"/>
          <w:highlight w:val="none"/>
          <w:lang w:eastAsia="zh-CN"/>
        </w:rPr>
        <w:t>电梯设备采购及安装项目，共</w:t>
      </w:r>
      <w:r>
        <w:rPr>
          <w:rFonts w:hint="eastAsia" w:ascii="宋体" w:hAnsi="宋体" w:eastAsia="宋体" w:cs="宋体"/>
          <w:b w:val="0"/>
          <w:bCs w:val="0"/>
          <w:color w:val="auto"/>
          <w:sz w:val="24"/>
          <w:highlight w:val="none"/>
          <w:lang w:val="en-US" w:eastAsia="zh-CN"/>
        </w:rPr>
        <w:t>3</w:t>
      </w:r>
      <w:r>
        <w:rPr>
          <w:rFonts w:hint="eastAsia" w:ascii="宋体" w:hAnsi="宋体" w:eastAsia="宋体" w:cs="宋体"/>
          <w:b w:val="0"/>
          <w:bCs w:val="0"/>
          <w:color w:val="auto"/>
          <w:sz w:val="24"/>
          <w:highlight w:val="none"/>
          <w:lang w:eastAsia="zh-CN"/>
        </w:rPr>
        <w:t>台电梯含设备采购、旧梯拆卸及土建整改部分、运输、安装调试、监检费、售后服务及相关手续办理等所有费用，拆下的旧梯抵拆梯人工费</w:t>
      </w:r>
      <w:r>
        <w:rPr>
          <w:rFonts w:hint="eastAsia" w:ascii="宋体" w:hAnsi="宋体" w:eastAsia="宋体" w:cs="宋体"/>
          <w:b w:val="0"/>
          <w:bCs w:val="0"/>
          <w:color w:val="auto"/>
          <w:sz w:val="24"/>
          <w:highlight w:val="none"/>
          <w:lang w:val="en-US" w:eastAsia="zh-CN"/>
        </w:rPr>
        <w:t>等</w:t>
      </w:r>
      <w:r>
        <w:rPr>
          <w:rFonts w:hint="eastAsia" w:ascii="宋体" w:hAnsi="宋体" w:eastAsia="宋体" w:cs="宋体"/>
          <w:b w:val="0"/>
          <w:bCs w:val="0"/>
          <w:color w:val="auto"/>
          <w:sz w:val="24"/>
          <w:highlight w:val="none"/>
          <w:lang w:eastAsia="zh-CN"/>
        </w:rPr>
        <w:t>。</w:t>
      </w:r>
    </w:p>
    <w:p>
      <w:pPr>
        <w:pStyle w:val="7"/>
        <w:keepNext w:val="0"/>
        <w:keepLines w:val="0"/>
        <w:pageBreakBefore w:val="0"/>
        <w:numPr>
          <w:ilvl w:val="0"/>
          <w:numId w:val="1"/>
        </w:numPr>
        <w:shd w:val="clear" w:color="auto" w:fill="FFFFFF"/>
        <w:kinsoku/>
        <w:wordWrap/>
        <w:overflowPunct/>
        <w:topLinePunct w:val="0"/>
        <w:autoSpaceDE/>
        <w:autoSpaceDN/>
        <w:bidi w:val="0"/>
        <w:adjustRightInd/>
        <w:snapToGrid/>
        <w:spacing w:beforeLines="50" w:beforeAutospacing="0" w:afterLines="50" w:afterAutospacing="0" w:line="600" w:lineRule="exact"/>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技术和服务要求</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480" w:firstLineChars="200"/>
        <w:jc w:val="left"/>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负责电梯主机、轿厢、门系统、控制系统等全套设备的采购、运输至指定地点，并完成安装调试，保障电梯运行符合国家相关安全标准，稳定流畅，同时提供全面售后服务，涵盖定期维护保养与及时的故障维修响应。</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480" w:firstLineChars="200"/>
        <w:jc w:val="left"/>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（2）电梯曳引机、电梯控制柜、电梯门机整机为原厂原品牌原商标产品，以确保设备品质与性能的一致性和可靠性。</w:t>
      </w:r>
    </w:p>
    <w:p>
      <w:pPr>
        <w:pStyle w:val="7"/>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100" w:beforeLines="50" w:beforeAutospacing="0" w:after="100" w:afterLines="50" w:afterAutospacing="0" w:line="600" w:lineRule="exact"/>
        <w:ind w:firstLine="480"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val="0"/>
          <w:bCs w:val="0"/>
          <w:color w:val="auto"/>
          <w:sz w:val="24"/>
          <w:highlight w:val="none"/>
          <w:lang w:val="en-US" w:eastAsia="zh-CN"/>
        </w:rPr>
        <w:t>（3）产品质量需达国家有关规范合格标准，工程质量符合国家电梯工程施工质量验收相关规范合格要求，承担办理电梯安装各类手续及验收工作，确保电梯依法依规投入使用。</w:t>
      </w:r>
    </w:p>
    <w:p>
      <w:pPr>
        <w:pStyle w:val="7"/>
        <w:keepNext w:val="0"/>
        <w:keepLines w:val="0"/>
        <w:pageBreakBefore w:val="0"/>
        <w:numPr>
          <w:ilvl w:val="0"/>
          <w:numId w:val="1"/>
        </w:numPr>
        <w:shd w:val="clear" w:color="auto" w:fill="FFFFFF"/>
        <w:kinsoku/>
        <w:wordWrap/>
        <w:overflowPunct/>
        <w:topLinePunct w:val="0"/>
        <w:autoSpaceDE/>
        <w:autoSpaceDN/>
        <w:bidi w:val="0"/>
        <w:adjustRightInd/>
        <w:snapToGrid/>
        <w:spacing w:beforeLines="50" w:beforeAutospacing="0" w:afterLines="50" w:afterAutospacing="0" w:line="600" w:lineRule="exact"/>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其他要求</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1.付款条件</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（1）货梯到达现场后，比选人15日内向中选单位支付合同总金额的30%(付款前中选单位应开具等额发票)。</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（2）货梯安装调试完成后，比选人15日内向中选单位支付合同总金额的40%(付款前中选单位应开具等额发票)。</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3）货梯经三明市技术监督局等相关部门验收合格并取得使用证后，比选人15日内向中选单位支付合同总金额的25%(付款前中选单位应开具等额发票)，余下合同总金额的5%货款作为质量保证金，在质保期满后7日内付清。</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2.设备安装及安装调试</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（1）中选单位应到现场进行实地测量技术数据并完成全部土建整改事项。</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（2）由中选单位对所有电梯进行安装、安装调试，并负责安装、安装调试及试运行所需井道灯、安全保护罩、专用灯座等设备材料的供应。</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（3）中选单位应配合项目建设进度(设备运达安装现场一周前)，向比选人提供安装、安装调试及试运行的施工组织计划、进度计划和施工作业计划及安全施工计划并签订施工安全责任书。</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4）中选单位在比选人建设工地现杨与比选人共同验收到货设备，并派专业人员在现场负责土建整改，做好电梯的安装调试工作。电梯安装的运输、起吊、脚手架(或安装平台)、施工调试过程中的电线电缆、安全防护措施等相关费用均由中选单位承担，比选人提供电源、水源。</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（5）中选单位应派技术人员进行整机安装、安装调试及试运行。调试人员应为制造商派出的高水平技术人员。</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（6）积极配合比选人完善施工前准备工作，施工过程中产生的所有安全责任由中选单位承担。</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3.验收要求</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（1）验收标准：电梯设备的质量检验及验收按照生产厂家产品标准和中华人民共和国国家标准GB/TI0058-2009 《电梯技术条件》、G8/TI0059—2009 《电梯实验条件》、GBI0060-93《电梯安装验收规范》、GB7588-2003《电梯制造与安装安全规范》、GB50182-93(《电梯电器装置安装施工及验收规范》，当地技术监督部门的电梯验收规范及比选文件规定的技术要求。比选文件规定的技术要求与其他验收依据规定的技术条件不符合时,以标准高的为依据。</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（2）验收程序分三个阶段：分别为出厂检验、安装及安装调试检验、最终验收。</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（3）验收费用：货物验收过程的费用由中选单位承担。</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（4）技术资料要求：中选单位应在设备移交时向比选人提供以下完整的中文技术资料二套，其费用包括在报价总价中。</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①产品验收标准；</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②技术说明书（含电气原理图及其符号说明）；</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③使用说明书；</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④设备安装、调试、维修线路原理图；</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⑤零部件目录；</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⑥安装、维修及操作手册；</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⑦安全部件(门锁、限速器、安全钳及缓冲器）的型式试验报告副本；</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⑧出厂明细表(装箱单)；</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⑨电梯使用证和电梯验收报告；</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⑩合同中要求的其他文件资料。</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4.售后服务</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1）货物最终验收合格后质量保证期为壹年，每月固定保养2次，维保人员发现问题，随时调整电梯的运行状态，确保电梯运行处在最佳状态。在质量保证期内因质量问题电梯运行发生故障，中选单位应免费提供所有损坏部件并免费提供维修保养和咨询。免费保修期内因电梯及安装质量问题引起的事故责任均由中选单位承担。</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2）中选单位需在本项目所在地设立售后维保服务点，必须有可随时上门作维修及检测的维保技术人员，电梯出现故障时，维修人员接到报修通知后，响应时间不超过30分钟，能在1小时内上门维修，并及时排除故障。维修人员在12小时内不能排除故障时，应负责联系制造商的技术人员到现场维修，制造商的技术人员接到报修通知后，到达故障现场时间不超过24小时。其费用在保修期内由中选单位负责。</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（3）即时维修诊断或远程遥控维修系统，应能提供每周7×24小时的全天候售后服务，并确保有专人受理。</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5.违约责任</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5.1未按期交货的违约责任</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5.1.1如果卖方未能按合同规定的时间按时足额交货和的（不可抗力除外），在买方书面同意支付延期交货违约金的条件下，买方有权选择同意延长交货期还是不予延长交货期，买方同意延长交货期的，延期交货的时间由双方自行确定。延期交货违约金的支付买方有权从未付的合同货款中扣除。延期交货违约金比率为每迟交1天，按迟交货物金额的 1％。</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5.1.2如果卖方未能按合同规定的时间或双方另行确定的延期交货期按时足额交货的（不可抗力除外），每逾期1天，卖方应按迟交货物金额的1％向买方支付逾期交货的违约金。逾期交货违约金的支付甲方有权从未付的合同货款中予以扣除。若乙方逾期交货达30天（含30天）以上的，买方有权单方解除本合同，卖方仍应按上述约定支付延期交货违约金。若因此给买方造成损失的，还应赔偿买方所受的损失。</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5.1.3卖方应在提供设备的同时，提供该电梯配置为轿厢龙门架采用槽钢、支架1.8m一档、轿底加强筋横向25CM一档、轿底4mm花纹钢板、配置司机模式的承诺，如卖方提供的配置为虚假材料，视为卖方违约，建设单位有权追究责任。</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5.2违约终止合同</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 xml:space="preserve">5.2.1在补救违约而采取的任何其他措施未能实现的情况下，即在买方发出的违约发生后30天内（或经买方书面确认的更长时间内）仍未纠正其下述任何一种违约行为，买方有权向卖方发出书面违约通知，买方终止本合同。  </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5.2.2如果卖方未能在合同规定的期限内或双方另行确定的延期交货时间内交付合同约定的货物。</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5.2.3卖方未能履行合同项下的任何其它义务。</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违约:卖方应保证所供产品完全达到投标文件承诺的质量标准，所有配件均应按投标文件承诺的品牌提供，如出现负偏差，买方有权扣留进度款，严重的直至退货并终止合同，卖方赔偿买方一切损失。</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保险：由卖方办理货物运抵工地现场这一段保险和安装施工中保险的手续，保险以人民币按照发票金额的110%办理“一切险”，保险范围包括卖方承诺装运的货物和安装施工中的有关保险，保险费用由卖方承担。</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6.本项目为交钥匙项目，合同的总金额包含设备价、税金、技术资料费、包装、从供方到采购方目的地的运输、装车、保险、卸货、一次搬运、安装及调试、监检费、井道照明、五方通话、土建整改、不锈钢大门套、拆下的旧梯抵拆梯人工费。其中卖方安装电缆应安装至机房内买方提供的电梯机房内三相五线制配电箱上；施工现场由买方提供施工用电源点，卖方负责就近接入无偿使用，所需电缆和配件由卖方承担；漏报、少报的均视为已含在其他已报子项中，买方不因此增加任何合同价款。因卖方未实施项目无法验收，买方有权委托第三方先行实施，并在货款中扣除。</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7.电梯轿厢应根据井道现场实际尺寸进行设计，轿厢尺寸、面积应符合国家有关规定，所涉及的一切费用含在投标报价中，买方不因此增加合同价款。</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8.中选人在项目实施过程中应严格遵守国家及地方相关法律法规、安全规范和质量标准，如因中选人原因导致项目出现质量问题、安全事故或延误工期等情况，中选人应承担相应的法律责任和经济赔偿责任。比选人有权对项目实施过程进行监督检查，中选人应积极配合并提供必要的资料和协助。</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9.本项目合同签订后，未经比选人书面同意，中选人不得擅自将项目转包或分包给第三方。若发现中选人存在违规转包或分包行为，比选人有权解除合同，并要求中选人承担由此造成的一切损失。</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10.知识产权</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1）中选单位提供的采购标的应符合国家知识产权法律、法规的规定且非假冒伪劣品；中选单位还应保证比选人不受到第三方关于侵犯知识产权及专利权、商标权或工业设计权等知识产权方面的指控，若任何第三方提出此方面指控均与比选人无关，中选单位应与第三方交涉，并承担可能发生的一切法律责任、费用和后果；若比选人因此而遭致损失，则中选单位应赔偿该损失。</w:t>
      </w:r>
    </w:p>
    <w:p>
      <w:pPr>
        <w:pStyle w:val="7"/>
        <w:keepNext w:val="0"/>
        <w:keepLines w:val="0"/>
        <w:pageBreakBefore w:val="0"/>
        <w:numPr>
          <w:ilvl w:val="0"/>
          <w:numId w:val="0"/>
        </w:numPr>
        <w:shd w:val="clear" w:color="auto" w:fill="FFFFFF"/>
        <w:kinsoku/>
        <w:wordWrap/>
        <w:overflowPunct/>
        <w:topLinePunct w:val="0"/>
        <w:autoSpaceDE/>
        <w:autoSpaceDN/>
        <w:bidi w:val="0"/>
        <w:adjustRightInd/>
        <w:snapToGrid/>
        <w:spacing w:beforeLines="50" w:beforeAutospacing="0" w:afterLines="50" w:afterAutospacing="0" w:line="600" w:lineRule="exact"/>
        <w:ind w:firstLine="482" w:firstLineChars="200"/>
        <w:jc w:val="both"/>
        <w:textAlignment w:val="auto"/>
        <w:rPr>
          <w:rFonts w:hint="eastAsia" w:ascii="宋体" w:hAnsi="宋体" w:eastAsia="宋体" w:cs="宋体"/>
          <w:b/>
          <w:bCs/>
          <w:color w:val="auto"/>
          <w:kern w:val="2"/>
          <w:sz w:val="24"/>
          <w:szCs w:val="22"/>
          <w:highlight w:val="none"/>
          <w:lang w:val="en-US" w:eastAsia="zh-CN" w:bidi="zh-CN"/>
        </w:rPr>
      </w:pPr>
      <w:r>
        <w:rPr>
          <w:rFonts w:hint="eastAsia" w:ascii="宋体" w:hAnsi="宋体" w:eastAsia="宋体" w:cs="宋体"/>
          <w:b/>
          <w:bCs/>
          <w:color w:val="auto"/>
          <w:kern w:val="2"/>
          <w:sz w:val="24"/>
          <w:szCs w:val="22"/>
          <w:highlight w:val="none"/>
          <w:lang w:val="en-US" w:eastAsia="zh-CN" w:bidi="zh-CN"/>
        </w:rPr>
        <w:t>（2）若中选单位提供的采购标的不符合国家知识产权法律、法规的规定或被有关主管机关认定为假冒伪劣品，则中选单位中标资格将被取消；比选人还将按照有关法律、法规和规章的规定进行处理。</w:t>
      </w:r>
    </w:p>
    <w:p>
      <w:pPr>
        <w:spacing w:line="440" w:lineRule="exact"/>
        <w:jc w:val="center"/>
        <w:outlineLvl w:val="0"/>
        <w:rPr>
          <w:rFonts w:hint="eastAsia" w:ascii="方正小标宋简体" w:hAnsi="方正小标宋简体" w:eastAsia="方正小标宋简体" w:cs="方正小标宋简体"/>
          <w:b w:val="0"/>
          <w:bCs/>
          <w:color w:val="auto"/>
          <w:sz w:val="32"/>
          <w:szCs w:val="32"/>
        </w:rPr>
      </w:pPr>
      <w:r>
        <w:rPr>
          <w:rFonts w:hint="eastAsia" w:ascii="方正小标宋简体" w:hAnsi="方正小标宋简体" w:eastAsia="方正小标宋简体" w:cs="方正小标宋简体"/>
          <w:b w:val="0"/>
          <w:bCs/>
          <w:color w:val="auto"/>
          <w:sz w:val="32"/>
          <w:szCs w:val="32"/>
          <w:lang w:eastAsia="zh-CN"/>
        </w:rPr>
        <w:t>电梯技术规格一览表</w:t>
      </w:r>
      <w:bookmarkStart w:id="0" w:name="_Toc104976027"/>
      <w:bookmarkStart w:id="1" w:name="_Toc112315237"/>
    </w:p>
    <w:bookmarkEnd w:id="0"/>
    <w:bookmarkEnd w:id="1"/>
    <w:p>
      <w:pPr>
        <w:pStyle w:val="7"/>
        <w:spacing w:before="75" w:beforeAutospacing="0" w:after="75" w:afterAutospacing="0"/>
        <w:rPr>
          <w:rFonts w:hint="eastAsia" w:ascii="仿宋_GB2312" w:hAnsi="仿宋_GB2312" w:eastAsia="仿宋_GB2312" w:cs="仿宋_GB2312"/>
          <w:b/>
          <w:color w:val="auto"/>
        </w:rPr>
      </w:pPr>
      <w:r>
        <w:rPr>
          <w:rFonts w:hint="eastAsia" w:ascii="仿宋_GB2312" w:hAnsi="仿宋_GB2312" w:eastAsia="仿宋_GB2312" w:cs="仿宋_GB2312"/>
          <w:b/>
          <w:color w:val="auto"/>
        </w:rPr>
        <w:t>（一）电梯主要参数表</w:t>
      </w:r>
    </w:p>
    <w:tbl>
      <w:tblPr>
        <w:tblStyle w:val="8"/>
        <w:tblW w:w="104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15"/>
        <w:gridCol w:w="1125"/>
        <w:gridCol w:w="915"/>
        <w:gridCol w:w="555"/>
        <w:gridCol w:w="1096"/>
        <w:gridCol w:w="960"/>
        <w:gridCol w:w="767"/>
        <w:gridCol w:w="767"/>
        <w:gridCol w:w="767"/>
        <w:gridCol w:w="1426"/>
        <w:gridCol w:w="14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15"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梯号</w:t>
            </w:r>
          </w:p>
        </w:tc>
        <w:tc>
          <w:tcPr>
            <w:tcW w:w="1125" w:type="dxa"/>
            <w:tcBorders>
              <w:top w:val="single" w:color="000000" w:sz="4" w:space="0"/>
              <w:left w:val="single" w:color="auto"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类型</w:t>
            </w:r>
          </w:p>
        </w:tc>
        <w:tc>
          <w:tcPr>
            <w:tcW w:w="9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载重（Kg）</w:t>
            </w:r>
          </w:p>
        </w:tc>
        <w:tc>
          <w:tcPr>
            <w:tcW w:w="5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台量</w:t>
            </w:r>
          </w:p>
        </w:tc>
        <w:tc>
          <w:tcPr>
            <w:tcW w:w="10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层/站/门</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速度(m/s)</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kern w:val="0"/>
                <w:sz w:val="22"/>
                <w:szCs w:val="22"/>
                <w:highlight w:val="none"/>
                <w:u w:val="none"/>
                <w:lang w:val="en-US" w:eastAsia="zh-CN" w:bidi="ar"/>
              </w:rPr>
            </w:pPr>
            <w:r>
              <w:rPr>
                <w:rFonts w:hint="eastAsia" w:ascii="仿宋_GB2312" w:hAnsi="仿宋_GB2312" w:eastAsia="仿宋_GB2312" w:cs="仿宋_GB2312"/>
                <w:b/>
                <w:bCs/>
                <w:i w:val="0"/>
                <w:iCs w:val="0"/>
                <w:color w:val="auto"/>
                <w:kern w:val="0"/>
                <w:sz w:val="22"/>
                <w:szCs w:val="22"/>
                <w:highlight w:val="none"/>
                <w:u w:val="none"/>
                <w:lang w:val="en-US" w:eastAsia="zh-CN" w:bidi="ar"/>
              </w:rPr>
              <w:t>提升高度m</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顶层高度mm</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底坑深度mm</w:t>
            </w: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井道净尺寸（宽*深）</w:t>
            </w: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kern w:val="0"/>
                <w:sz w:val="22"/>
                <w:szCs w:val="22"/>
                <w:highlight w:val="none"/>
                <w:u w:val="none"/>
                <w:lang w:val="en-US" w:eastAsia="zh-CN" w:bidi="ar"/>
              </w:rPr>
            </w:pPr>
            <w:r>
              <w:rPr>
                <w:rFonts w:hint="eastAsia" w:ascii="仿宋_GB2312" w:hAnsi="仿宋_GB2312" w:eastAsia="仿宋_GB2312" w:cs="仿宋_GB2312"/>
                <w:b/>
                <w:bCs/>
                <w:i w:val="0"/>
                <w:iCs w:val="0"/>
                <w:color w:val="auto"/>
                <w:kern w:val="0"/>
                <w:sz w:val="22"/>
                <w:szCs w:val="22"/>
                <w:highlight w:val="none"/>
                <w:u w:val="none"/>
                <w:lang w:val="en-US" w:eastAsia="zh-CN" w:bidi="ar"/>
              </w:rPr>
              <w:t>开门净尺寸（宽*高）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L1</w:t>
            </w:r>
          </w:p>
        </w:tc>
        <w:tc>
          <w:tcPr>
            <w:tcW w:w="112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有机房货梯</w:t>
            </w:r>
          </w:p>
        </w:tc>
        <w:tc>
          <w:tcPr>
            <w:tcW w:w="9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lang w:val="en-US"/>
              </w:rPr>
            </w:pPr>
            <w:r>
              <w:rPr>
                <w:rFonts w:hint="eastAsia" w:ascii="仿宋_GB2312" w:hAnsi="仿宋_GB2312" w:eastAsia="仿宋_GB2312" w:cs="仿宋_GB2312"/>
                <w:i w:val="0"/>
                <w:iCs w:val="0"/>
                <w:color w:val="auto"/>
                <w:kern w:val="0"/>
                <w:sz w:val="22"/>
                <w:szCs w:val="22"/>
                <w:highlight w:val="none"/>
                <w:u w:val="none"/>
                <w:lang w:val="en-US" w:eastAsia="zh-CN" w:bidi="ar"/>
              </w:rPr>
              <w:t>2000</w:t>
            </w:r>
          </w:p>
        </w:tc>
        <w:tc>
          <w:tcPr>
            <w:tcW w:w="5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3</w:t>
            </w:r>
          </w:p>
        </w:tc>
        <w:tc>
          <w:tcPr>
            <w:tcW w:w="10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lang w:val="en-US"/>
              </w:rPr>
            </w:pPr>
            <w:r>
              <w:rPr>
                <w:rFonts w:hint="eastAsia" w:ascii="仿宋_GB2312" w:hAnsi="仿宋_GB2312" w:eastAsia="仿宋_GB2312" w:cs="仿宋_GB2312"/>
                <w:i w:val="0"/>
                <w:iCs w:val="0"/>
                <w:color w:val="auto"/>
                <w:kern w:val="0"/>
                <w:sz w:val="22"/>
                <w:szCs w:val="22"/>
                <w:highlight w:val="none"/>
                <w:u w:val="none"/>
                <w:lang w:val="en-US" w:eastAsia="zh-CN" w:bidi="ar"/>
              </w:rPr>
              <w:t>3/3/4</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lang w:val="en-US"/>
              </w:rPr>
            </w:pPr>
            <w:r>
              <w:rPr>
                <w:rFonts w:hint="eastAsia" w:ascii="仿宋_GB2312" w:hAnsi="仿宋_GB2312" w:eastAsia="仿宋_GB2312" w:cs="仿宋_GB2312"/>
                <w:i w:val="0"/>
                <w:iCs w:val="0"/>
                <w:color w:val="auto"/>
                <w:kern w:val="0"/>
                <w:sz w:val="22"/>
                <w:szCs w:val="22"/>
                <w:highlight w:val="none"/>
                <w:u w:val="none"/>
                <w:lang w:val="en-US" w:eastAsia="zh-CN" w:bidi="ar"/>
              </w:rPr>
              <w:t>0.5</w:t>
            </w:r>
          </w:p>
        </w:tc>
        <w:tc>
          <w:tcPr>
            <w:tcW w:w="76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2"/>
                <w:szCs w:val="22"/>
                <w:highlight w:val="none"/>
                <w:u w:val="none"/>
                <w:lang w:val="en-US" w:eastAsia="zh-CN" w:bidi="ar"/>
              </w:rPr>
            </w:pPr>
            <w:r>
              <w:rPr>
                <w:rFonts w:hint="eastAsia" w:ascii="仿宋_GB2312" w:hAnsi="仿宋_GB2312" w:eastAsia="仿宋_GB2312" w:cs="仿宋_GB2312"/>
                <w:i w:val="0"/>
                <w:iCs w:val="0"/>
                <w:color w:val="auto"/>
                <w:kern w:val="0"/>
                <w:sz w:val="22"/>
                <w:szCs w:val="22"/>
                <w:highlight w:val="none"/>
                <w:u w:val="none"/>
                <w:lang w:val="en-US" w:eastAsia="zh-CN" w:bidi="ar"/>
              </w:rPr>
              <w:t>8.7</w:t>
            </w:r>
          </w:p>
        </w:tc>
        <w:tc>
          <w:tcPr>
            <w:tcW w:w="76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lang w:val="en-US"/>
              </w:rPr>
            </w:pPr>
            <w:r>
              <w:rPr>
                <w:rFonts w:hint="eastAsia" w:ascii="仿宋_GB2312" w:hAnsi="仿宋_GB2312" w:eastAsia="仿宋_GB2312" w:cs="仿宋_GB2312"/>
                <w:i w:val="0"/>
                <w:iCs w:val="0"/>
                <w:color w:val="auto"/>
                <w:kern w:val="0"/>
                <w:sz w:val="22"/>
                <w:szCs w:val="22"/>
                <w:highlight w:val="none"/>
                <w:u w:val="none"/>
                <w:lang w:val="en-US" w:eastAsia="zh-CN" w:bidi="ar"/>
              </w:rPr>
              <w:t>4560</w:t>
            </w:r>
          </w:p>
        </w:tc>
        <w:tc>
          <w:tcPr>
            <w:tcW w:w="76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1600 </w:t>
            </w: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lang w:val="en-US"/>
              </w:rPr>
            </w:pPr>
            <w:r>
              <w:rPr>
                <w:rFonts w:hint="eastAsia" w:ascii="仿宋_GB2312" w:hAnsi="仿宋_GB2312" w:eastAsia="仿宋_GB2312" w:cs="仿宋_GB2312"/>
                <w:i w:val="0"/>
                <w:iCs w:val="0"/>
                <w:color w:val="auto"/>
                <w:kern w:val="0"/>
                <w:sz w:val="22"/>
                <w:szCs w:val="22"/>
                <w:highlight w:val="none"/>
                <w:u w:val="none"/>
                <w:lang w:val="en-US" w:eastAsia="zh-CN" w:bidi="ar"/>
              </w:rPr>
              <w:t>2950mm x2850mm</w:t>
            </w: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2"/>
                <w:szCs w:val="22"/>
                <w:highlight w:val="none"/>
                <w:u w:val="none"/>
                <w:lang w:val="en-US" w:eastAsia="zh-CN" w:bidi="ar"/>
              </w:rPr>
            </w:pPr>
            <w:r>
              <w:rPr>
                <w:rFonts w:hint="eastAsia" w:ascii="仿宋_GB2312" w:hAnsi="仿宋_GB2312" w:eastAsia="仿宋_GB2312" w:cs="仿宋_GB2312"/>
                <w:i w:val="0"/>
                <w:iCs w:val="0"/>
                <w:color w:val="auto"/>
                <w:kern w:val="0"/>
                <w:sz w:val="22"/>
                <w:szCs w:val="22"/>
                <w:highlight w:val="none"/>
                <w:u w:val="none"/>
                <w:lang w:val="en-US" w:eastAsia="zh-CN" w:bidi="ar"/>
              </w:rPr>
              <w:t>1600*2200</w:t>
            </w:r>
          </w:p>
        </w:tc>
      </w:tr>
    </w:tbl>
    <w:p>
      <w:pPr>
        <w:pStyle w:val="7"/>
        <w:numPr>
          <w:ilvl w:val="0"/>
          <w:numId w:val="2"/>
        </w:numPr>
        <w:spacing w:before="75" w:beforeAutospacing="0" w:after="75" w:afterAutospacing="0"/>
        <w:rPr>
          <w:rFonts w:hint="eastAsia" w:ascii="仿宋_GB2312" w:hAnsi="仿宋_GB2312" w:eastAsia="仿宋_GB2312" w:cs="仿宋_GB2312"/>
          <w:b/>
          <w:color w:val="auto"/>
          <w:lang w:val="en-US" w:eastAsia="zh-CN"/>
        </w:rPr>
      </w:pPr>
      <w:r>
        <w:rPr>
          <w:rFonts w:hint="eastAsia" w:ascii="仿宋_GB2312" w:hAnsi="仿宋_GB2312" w:eastAsia="仿宋_GB2312" w:cs="仿宋_GB2312"/>
          <w:b/>
          <w:color w:val="auto"/>
          <w:lang w:val="en-US" w:eastAsia="zh-CN"/>
        </w:rPr>
        <w:t>基本参数</w:t>
      </w:r>
    </w:p>
    <w:tbl>
      <w:tblPr>
        <w:tblStyle w:val="8"/>
        <w:tblW w:w="87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6"/>
        <w:gridCol w:w="2715"/>
        <w:gridCol w:w="3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729" w:type="dxa"/>
            <w:gridSpan w:val="3"/>
            <w:shd w:val="clear" w:color="auto" w:fill="C6D9F1"/>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基本参数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梯号</w:t>
            </w:r>
          </w:p>
        </w:tc>
        <w:tc>
          <w:tcPr>
            <w:tcW w:w="2715" w:type="dxa"/>
            <w:noWrap/>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w:t>
            </w:r>
          </w:p>
        </w:tc>
        <w:tc>
          <w:tcPr>
            <w:tcW w:w="3158" w:type="dxa"/>
            <w:noWrap/>
            <w:vAlign w:val="center"/>
          </w:tcPr>
          <w:p>
            <w:pPr>
              <w:widowControl/>
              <w:jc w:val="both"/>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电梯台数</w:t>
            </w:r>
          </w:p>
        </w:tc>
        <w:tc>
          <w:tcPr>
            <w:tcW w:w="2715" w:type="dxa"/>
            <w:noWrap/>
            <w:vAlign w:val="center"/>
          </w:tcPr>
          <w:p>
            <w:pPr>
              <w:widowControl/>
              <w:jc w:val="both"/>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val="en-US" w:eastAsia="zh-CN"/>
              </w:rPr>
              <w:t>3</w:t>
            </w:r>
          </w:p>
        </w:tc>
        <w:tc>
          <w:tcPr>
            <w:tcW w:w="3158" w:type="dxa"/>
            <w:noWrap/>
            <w:vAlign w:val="center"/>
          </w:tcPr>
          <w:p>
            <w:pPr>
              <w:widowControl/>
              <w:jc w:val="both"/>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bCs/>
                <w:sz w:val="24"/>
                <w:szCs w:val="24"/>
              </w:rPr>
            </w:pPr>
            <w:r>
              <w:rPr>
                <w:rFonts w:hint="eastAsia" w:ascii="仿宋_GB2312" w:hAnsi="仿宋_GB2312" w:eastAsia="仿宋_GB2312" w:cs="仿宋_GB2312"/>
                <w:b/>
                <w:sz w:val="24"/>
                <w:szCs w:val="24"/>
              </w:rPr>
              <w:t>货物名称</w:t>
            </w:r>
          </w:p>
        </w:tc>
        <w:tc>
          <w:tcPr>
            <w:tcW w:w="2715" w:type="dxa"/>
            <w:noWrap/>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有机房载货电梯</w:t>
            </w:r>
          </w:p>
        </w:tc>
        <w:tc>
          <w:tcPr>
            <w:tcW w:w="3158" w:type="dxa"/>
            <w:noWrap/>
            <w:vAlign w:val="center"/>
          </w:tcPr>
          <w:p>
            <w:pPr>
              <w:widowControl/>
              <w:jc w:val="both"/>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载重</w:t>
            </w:r>
          </w:p>
        </w:tc>
        <w:tc>
          <w:tcPr>
            <w:tcW w:w="2715" w:type="dxa"/>
            <w:noWrap/>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2000kg</w:t>
            </w:r>
          </w:p>
        </w:tc>
        <w:tc>
          <w:tcPr>
            <w:tcW w:w="3158" w:type="dxa"/>
            <w:noWrap/>
            <w:vAlign w:val="center"/>
          </w:tcPr>
          <w:p>
            <w:pPr>
              <w:widowControl/>
              <w:jc w:val="both"/>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速度</w:t>
            </w:r>
          </w:p>
        </w:tc>
        <w:tc>
          <w:tcPr>
            <w:tcW w:w="2715" w:type="dxa"/>
            <w:noWrap/>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0.5m/s</w:t>
            </w:r>
          </w:p>
        </w:tc>
        <w:tc>
          <w:tcPr>
            <w:tcW w:w="3158" w:type="dxa"/>
            <w:noWrap/>
            <w:vAlign w:val="center"/>
          </w:tcPr>
          <w:p>
            <w:pPr>
              <w:widowControl/>
              <w:jc w:val="both"/>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层数</w:t>
            </w:r>
            <w:r>
              <w:rPr>
                <w:rFonts w:hint="eastAsia" w:ascii="仿宋_GB2312" w:hAnsi="仿宋_GB2312" w:eastAsia="仿宋_GB2312" w:cs="仿宋_GB2312"/>
                <w:b/>
                <w:sz w:val="24"/>
                <w:szCs w:val="24"/>
              </w:rPr>
              <w:t>/</w:t>
            </w:r>
            <w:r>
              <w:rPr>
                <w:rFonts w:hint="eastAsia" w:ascii="仿宋_GB2312" w:hAnsi="仿宋_GB2312" w:eastAsia="仿宋_GB2312" w:cs="仿宋_GB2312"/>
                <w:b/>
                <w:bCs/>
                <w:sz w:val="24"/>
                <w:szCs w:val="24"/>
              </w:rPr>
              <w:t>站数</w:t>
            </w:r>
            <w:r>
              <w:rPr>
                <w:rFonts w:hint="eastAsia" w:ascii="仿宋_GB2312" w:hAnsi="仿宋_GB2312" w:eastAsia="仿宋_GB2312" w:cs="仿宋_GB2312"/>
                <w:b/>
                <w:sz w:val="24"/>
                <w:szCs w:val="24"/>
              </w:rPr>
              <w:t>/</w:t>
            </w:r>
            <w:r>
              <w:rPr>
                <w:rFonts w:hint="eastAsia" w:ascii="仿宋_GB2312" w:hAnsi="仿宋_GB2312" w:eastAsia="仿宋_GB2312" w:cs="仿宋_GB2312"/>
                <w:b/>
                <w:bCs/>
                <w:sz w:val="24"/>
                <w:szCs w:val="24"/>
              </w:rPr>
              <w:t>开门数</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3/3/4</w:t>
            </w:r>
          </w:p>
        </w:tc>
        <w:tc>
          <w:tcPr>
            <w:tcW w:w="3158" w:type="dxa"/>
            <w:noWrap/>
            <w:vAlign w:val="center"/>
          </w:tcPr>
          <w:p>
            <w:pPr>
              <w:jc w:val="both"/>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开门形式</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旁开双折门</w:t>
            </w:r>
          </w:p>
        </w:tc>
        <w:tc>
          <w:tcPr>
            <w:tcW w:w="3158" w:type="dxa"/>
            <w:noWrap/>
            <w:vAlign w:val="center"/>
          </w:tcPr>
          <w:p>
            <w:pPr>
              <w:jc w:val="both"/>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轿厢是否贯通门</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w:t>
            </w:r>
          </w:p>
        </w:tc>
        <w:tc>
          <w:tcPr>
            <w:tcW w:w="3158"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2F对开门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楼层显示</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1,2,3</w:t>
            </w:r>
          </w:p>
        </w:tc>
        <w:tc>
          <w:tcPr>
            <w:tcW w:w="3158" w:type="dxa"/>
            <w:noWrap/>
            <w:vAlign w:val="center"/>
          </w:tcPr>
          <w:p>
            <w:pPr>
              <w:jc w:val="both"/>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基站位置</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3158" w:type="dxa"/>
            <w:noWrap/>
            <w:vAlign w:val="center"/>
          </w:tcPr>
          <w:p>
            <w:pPr>
              <w:jc w:val="both"/>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729" w:type="dxa"/>
            <w:gridSpan w:val="3"/>
            <w:shd w:val="clear" w:color="auto" w:fill="C6D9F1"/>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轿厢及装潢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轿厢规格(净宽×净深)</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1800mm x 2300mm</w:t>
            </w:r>
          </w:p>
        </w:tc>
        <w:tc>
          <w:tcPr>
            <w:tcW w:w="3158" w:type="dxa"/>
            <w:noWrap/>
            <w:vAlign w:val="center"/>
          </w:tcPr>
          <w:p>
            <w:pPr>
              <w:jc w:val="both"/>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轿厢净高</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2500mm</w:t>
            </w:r>
          </w:p>
        </w:tc>
        <w:tc>
          <w:tcPr>
            <w:tcW w:w="3158" w:type="dxa"/>
            <w:noWrap/>
            <w:vAlign w:val="center"/>
          </w:tcPr>
          <w:p>
            <w:pPr>
              <w:jc w:val="both"/>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开门尺寸(净宽×净高)</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1600mm x 2</w:t>
            </w:r>
            <w:r>
              <w:rPr>
                <w:rFonts w:hint="eastAsia" w:ascii="仿宋_GB2312" w:hAnsi="仿宋_GB2312" w:eastAsia="仿宋_GB2312" w:cs="仿宋_GB2312"/>
                <w:kern w:val="0"/>
                <w:sz w:val="24"/>
                <w:szCs w:val="24"/>
                <w:lang w:val="en-US" w:eastAsia="zh-CN"/>
              </w:rPr>
              <w:t>2</w:t>
            </w:r>
            <w:r>
              <w:rPr>
                <w:rFonts w:hint="eastAsia" w:ascii="仿宋_GB2312" w:hAnsi="仿宋_GB2312" w:eastAsia="仿宋_GB2312" w:cs="仿宋_GB2312"/>
                <w:kern w:val="0"/>
                <w:sz w:val="24"/>
                <w:szCs w:val="24"/>
              </w:rPr>
              <w:t>00mm</w:t>
            </w:r>
          </w:p>
        </w:tc>
        <w:tc>
          <w:tcPr>
            <w:tcW w:w="3158" w:type="dxa"/>
            <w:noWrap/>
            <w:vAlign w:val="center"/>
          </w:tcPr>
          <w:p>
            <w:pPr>
              <w:jc w:val="both"/>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729" w:type="dxa"/>
            <w:gridSpan w:val="3"/>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b/>
                <w:sz w:val="24"/>
                <w:szCs w:val="24"/>
              </w:rPr>
              <w:t>电梯轿厢装饰（提供样册或相应图片）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轿厢壁材质</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喷涂钢板</w:t>
            </w:r>
          </w:p>
        </w:tc>
        <w:tc>
          <w:tcPr>
            <w:tcW w:w="3158"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厚度≥1.2mm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轿门材质</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喷涂钢板</w:t>
            </w:r>
          </w:p>
        </w:tc>
        <w:tc>
          <w:tcPr>
            <w:tcW w:w="3158"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厚度≥1.2mm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吊顶材质</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喷涂钢板</w:t>
            </w:r>
          </w:p>
        </w:tc>
        <w:tc>
          <w:tcPr>
            <w:tcW w:w="3158"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厚度≥1.2mm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地板材质</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花纹钢板</w:t>
            </w:r>
          </w:p>
        </w:tc>
        <w:tc>
          <w:tcPr>
            <w:tcW w:w="3158"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厚度≥</w:t>
            </w:r>
            <w:r>
              <w:rPr>
                <w:rFonts w:hint="eastAsia" w:ascii="仿宋_GB2312" w:hAnsi="仿宋_GB2312" w:eastAsia="仿宋_GB2312" w:cs="仿宋_GB2312"/>
                <w:kern w:val="0"/>
                <w:sz w:val="24"/>
                <w:szCs w:val="24"/>
                <w:lang w:val="en-US" w:eastAsia="zh-CN"/>
              </w:rPr>
              <w:t>4</w:t>
            </w:r>
            <w:r>
              <w:rPr>
                <w:rFonts w:hint="eastAsia" w:ascii="仿宋_GB2312" w:hAnsi="仿宋_GB2312" w:eastAsia="仿宋_GB2312" w:cs="仿宋_GB2312"/>
                <w:kern w:val="0"/>
                <w:sz w:val="24"/>
                <w:szCs w:val="24"/>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操纵箱材质</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304发纹不锈钢面板</w:t>
            </w:r>
          </w:p>
        </w:tc>
        <w:tc>
          <w:tcPr>
            <w:tcW w:w="3158" w:type="dxa"/>
            <w:noWrap/>
            <w:vAlign w:val="center"/>
          </w:tcPr>
          <w:p>
            <w:pPr>
              <w:jc w:val="both"/>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729" w:type="dxa"/>
            <w:gridSpan w:val="3"/>
            <w:shd w:val="clear" w:color="auto" w:fill="C6D9F1"/>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层门</w:t>
            </w:r>
            <w:r>
              <w:rPr>
                <w:rFonts w:hint="eastAsia" w:ascii="仿宋_GB2312" w:hAnsi="仿宋_GB2312" w:eastAsia="仿宋_GB2312" w:cs="仿宋_GB2312"/>
                <w:b/>
                <w:sz w:val="24"/>
                <w:szCs w:val="24"/>
                <w:shd w:val="clear" w:color="auto" w:fill="auto"/>
              </w:rPr>
              <w:t>及小门套装饰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color w:val="FF0000"/>
                <w:sz w:val="24"/>
                <w:szCs w:val="24"/>
              </w:rPr>
            </w:pPr>
            <w:r>
              <w:rPr>
                <w:rFonts w:hint="eastAsia" w:ascii="仿宋_GB2312" w:hAnsi="仿宋_GB2312" w:eastAsia="仿宋_GB2312" w:cs="仿宋_GB2312"/>
                <w:b/>
                <w:sz w:val="24"/>
                <w:szCs w:val="24"/>
              </w:rPr>
              <w:t>层门材质</w:t>
            </w:r>
          </w:p>
        </w:tc>
        <w:tc>
          <w:tcPr>
            <w:tcW w:w="2715" w:type="dxa"/>
            <w:noWrap/>
            <w:vAlign w:val="center"/>
          </w:tcPr>
          <w:p>
            <w:pPr>
              <w:jc w:val="both"/>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喷涂钢板</w:t>
            </w:r>
          </w:p>
        </w:tc>
        <w:tc>
          <w:tcPr>
            <w:tcW w:w="3158" w:type="dxa"/>
            <w:noWrap/>
            <w:vAlign w:val="center"/>
          </w:tcPr>
          <w:p>
            <w:pPr>
              <w:jc w:val="both"/>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厚度≥1.2mm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门套材质</w:t>
            </w:r>
          </w:p>
        </w:tc>
        <w:tc>
          <w:tcPr>
            <w:tcW w:w="2715" w:type="dxa"/>
            <w:noWrap/>
            <w:vAlign w:val="center"/>
          </w:tcPr>
          <w:p>
            <w:pPr>
              <w:jc w:val="both"/>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喷涂钢板</w:t>
            </w:r>
          </w:p>
        </w:tc>
        <w:tc>
          <w:tcPr>
            <w:tcW w:w="3158" w:type="dxa"/>
            <w:noWrap/>
            <w:vAlign w:val="center"/>
          </w:tcPr>
          <w:p>
            <w:pPr>
              <w:jc w:val="both"/>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厚度≥1.2mm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门套类型</w:t>
            </w:r>
          </w:p>
        </w:tc>
        <w:tc>
          <w:tcPr>
            <w:tcW w:w="2715"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kern w:val="0"/>
                <w:sz w:val="24"/>
                <w:szCs w:val="24"/>
              </w:rPr>
              <w:t>小门套</w:t>
            </w:r>
          </w:p>
        </w:tc>
        <w:tc>
          <w:tcPr>
            <w:tcW w:w="3158"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厚度≥1.2mm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召唤盒材质</w:t>
            </w:r>
          </w:p>
        </w:tc>
        <w:tc>
          <w:tcPr>
            <w:tcW w:w="2715" w:type="dxa"/>
            <w:noWrap/>
            <w:vAlign w:val="center"/>
          </w:tcPr>
          <w:p>
            <w:pPr>
              <w:pStyle w:val="11"/>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304不锈钢</w:t>
            </w:r>
          </w:p>
        </w:tc>
        <w:tc>
          <w:tcPr>
            <w:tcW w:w="3158" w:type="dxa"/>
            <w:noWrap/>
            <w:vAlign w:val="center"/>
          </w:tcPr>
          <w:p>
            <w:pPr>
              <w:pStyle w:val="11"/>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729" w:type="dxa"/>
            <w:gridSpan w:val="3"/>
            <w:shd w:val="clear" w:color="auto" w:fill="C6D9F1"/>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井道及部件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提升高度</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8800mm</w:t>
            </w:r>
          </w:p>
        </w:tc>
        <w:tc>
          <w:tcPr>
            <w:tcW w:w="3158"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仅供参考，以实际为准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井道尺寸（净宽×净深）</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2950mm x2850mm</w:t>
            </w:r>
          </w:p>
        </w:tc>
        <w:tc>
          <w:tcPr>
            <w:tcW w:w="3158"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仅供参考，以实际为准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顶层高度</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4600mm</w:t>
            </w:r>
          </w:p>
        </w:tc>
        <w:tc>
          <w:tcPr>
            <w:tcW w:w="3158"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仅供参考，以实际为准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856" w:type="dxa"/>
            <w:noWrap/>
            <w:vAlign w:val="center"/>
          </w:tcPr>
          <w:p>
            <w:p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底坑深度</w:t>
            </w:r>
          </w:p>
        </w:tc>
        <w:tc>
          <w:tcPr>
            <w:tcW w:w="2715"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1500mm</w:t>
            </w:r>
          </w:p>
        </w:tc>
        <w:tc>
          <w:tcPr>
            <w:tcW w:w="3158" w:type="dxa"/>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仅供参考，以实际为准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729" w:type="dxa"/>
            <w:gridSpan w:val="3"/>
            <w:shd w:val="clear" w:color="auto" w:fill="B8CCE4"/>
            <w:noWrap/>
            <w:vAlign w:val="center"/>
          </w:tcPr>
          <w:p>
            <w:pPr>
              <w:jc w:val="both"/>
              <w:rPr>
                <w:rFonts w:hint="eastAsia" w:ascii="仿宋_GB2312" w:hAnsi="仿宋_GB2312" w:eastAsia="仿宋_GB2312" w:cs="仿宋_GB2312"/>
                <w:kern w:val="0"/>
                <w:sz w:val="24"/>
                <w:szCs w:val="24"/>
              </w:rPr>
            </w:pPr>
            <w:r>
              <w:rPr>
                <w:rFonts w:hint="eastAsia" w:ascii="仿宋_GB2312" w:hAnsi="仿宋_GB2312" w:eastAsia="仿宋_GB2312" w:cs="仿宋_GB2312"/>
                <w:b/>
                <w:sz w:val="24"/>
                <w:szCs w:val="24"/>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729" w:type="dxa"/>
            <w:gridSpan w:val="3"/>
            <w:noWrap/>
            <w:vAlign w:val="center"/>
          </w:tcPr>
          <w:p>
            <w:pPr>
              <w:numPr>
                <w:ilvl w:val="0"/>
                <w:numId w:val="0"/>
              </w:numPr>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1.轿厢</w:t>
            </w:r>
            <w:r>
              <w:rPr>
                <w:rFonts w:hint="eastAsia" w:ascii="仿宋_GB2312" w:hAnsi="仿宋_GB2312" w:eastAsia="仿宋_GB2312" w:cs="仿宋_GB2312"/>
                <w:b/>
                <w:sz w:val="24"/>
                <w:szCs w:val="24"/>
              </w:rPr>
              <w:t>龙门架采用槽钢</w:t>
            </w:r>
          </w:p>
          <w:p>
            <w:pPr>
              <w:numPr>
                <w:ilvl w:val="0"/>
                <w:numId w:val="0"/>
              </w:numPr>
              <w:ind w:leftChars="0"/>
              <w:jc w:val="both"/>
              <w:rPr>
                <w:rFonts w:hint="eastAsia" w:ascii="仿宋_GB2312" w:hAnsi="仿宋_GB2312" w:eastAsia="仿宋_GB2312" w:cs="仿宋_GB2312"/>
                <w:kern w:val="0"/>
                <w:sz w:val="24"/>
                <w:szCs w:val="24"/>
              </w:rPr>
            </w:pPr>
            <w:r>
              <w:rPr>
                <w:rFonts w:hint="eastAsia" w:ascii="仿宋_GB2312" w:hAnsi="仿宋_GB2312" w:eastAsia="仿宋_GB2312" w:cs="仿宋_GB2312"/>
                <w:b/>
                <w:sz w:val="24"/>
                <w:szCs w:val="24"/>
                <w:lang w:val="en-US" w:eastAsia="zh-CN"/>
              </w:rPr>
              <w:t>2</w:t>
            </w:r>
            <w:r>
              <w:rPr>
                <w:rFonts w:hint="eastAsia" w:ascii="仿宋_GB2312" w:hAnsi="仿宋_GB2312" w:eastAsia="仿宋_GB2312" w:cs="仿宋_GB2312"/>
                <w:b/>
                <w:sz w:val="24"/>
                <w:szCs w:val="24"/>
              </w:rPr>
              <w:t>.支架1.8</w:t>
            </w:r>
            <w:r>
              <w:rPr>
                <w:rFonts w:hint="eastAsia" w:ascii="仿宋_GB2312" w:hAnsi="仿宋_GB2312" w:eastAsia="仿宋_GB2312" w:cs="仿宋_GB2312"/>
                <w:b/>
                <w:sz w:val="24"/>
                <w:szCs w:val="24"/>
                <w:lang w:val="en-US" w:eastAsia="zh-CN"/>
              </w:rPr>
              <w:t>m</w:t>
            </w:r>
            <w:r>
              <w:rPr>
                <w:rFonts w:hint="eastAsia" w:ascii="仿宋_GB2312" w:hAnsi="仿宋_GB2312" w:eastAsia="仿宋_GB2312" w:cs="仿宋_GB2312"/>
                <w:b/>
                <w:sz w:val="24"/>
                <w:szCs w:val="24"/>
              </w:rPr>
              <w:t>一档</w:t>
            </w:r>
          </w:p>
          <w:p>
            <w:pPr>
              <w:numPr>
                <w:ilvl w:val="0"/>
                <w:numId w:val="0"/>
              </w:numPr>
              <w:ind w:leftChars="0"/>
              <w:jc w:val="both"/>
              <w:rPr>
                <w:rFonts w:hint="eastAsia" w:ascii="仿宋_GB2312" w:hAnsi="仿宋_GB2312" w:eastAsia="仿宋_GB2312" w:cs="仿宋_GB2312"/>
                <w:b/>
                <w:color w:val="000000"/>
                <w:sz w:val="24"/>
                <w:szCs w:val="24"/>
              </w:rPr>
            </w:pPr>
            <w:r>
              <w:rPr>
                <w:rFonts w:hint="eastAsia" w:ascii="仿宋_GB2312" w:hAnsi="仿宋_GB2312" w:eastAsia="仿宋_GB2312" w:cs="仿宋_GB2312"/>
                <w:b/>
                <w:sz w:val="24"/>
                <w:szCs w:val="24"/>
                <w:lang w:val="en-US" w:eastAsia="zh-CN"/>
              </w:rPr>
              <w:t>3</w:t>
            </w:r>
            <w:r>
              <w:rPr>
                <w:rFonts w:hint="eastAsia" w:ascii="仿宋_GB2312" w:hAnsi="仿宋_GB2312" w:eastAsia="仿宋_GB2312" w:cs="仿宋_GB2312"/>
                <w:b/>
                <w:sz w:val="24"/>
                <w:szCs w:val="24"/>
              </w:rPr>
              <w:t>.</w:t>
            </w:r>
            <w:r>
              <w:rPr>
                <w:rFonts w:hint="eastAsia" w:ascii="仿宋_GB2312" w:hAnsi="仿宋_GB2312" w:eastAsia="仿宋_GB2312" w:cs="仿宋_GB2312"/>
                <w:b/>
                <w:color w:val="000000"/>
                <w:sz w:val="24"/>
                <w:szCs w:val="24"/>
              </w:rPr>
              <w:t>轿底加强筋横向25CM一档</w:t>
            </w:r>
          </w:p>
          <w:p>
            <w:pPr>
              <w:numPr>
                <w:ilvl w:val="0"/>
                <w:numId w:val="0"/>
              </w:numPr>
              <w:ind w:leftChars="0"/>
              <w:jc w:val="both"/>
              <w:rPr>
                <w:rFonts w:hint="eastAsia" w:ascii="仿宋_GB2312" w:hAnsi="仿宋_GB2312" w:eastAsia="仿宋_GB2312" w:cs="仿宋_GB2312"/>
                <w:b/>
                <w:sz w:val="24"/>
                <w:szCs w:val="24"/>
                <w:lang w:val="en-US" w:eastAsia="zh-CN"/>
              </w:rPr>
            </w:pPr>
            <w:r>
              <w:rPr>
                <w:rFonts w:hint="eastAsia" w:ascii="仿宋_GB2312" w:hAnsi="仿宋_GB2312" w:eastAsia="仿宋_GB2312" w:cs="仿宋_GB2312"/>
                <w:b/>
                <w:sz w:val="24"/>
                <w:szCs w:val="24"/>
                <w:lang w:val="en-US" w:eastAsia="zh-CN"/>
              </w:rPr>
              <w:t>4.轿底4mm花纹钢板</w:t>
            </w:r>
          </w:p>
          <w:p>
            <w:pPr>
              <w:numPr>
                <w:ilvl w:val="0"/>
                <w:numId w:val="0"/>
              </w:numPr>
              <w:ind w:leftChars="0"/>
              <w:jc w:val="both"/>
              <w:rPr>
                <w:rFonts w:hint="eastAsia" w:ascii="仿宋_GB2312" w:hAnsi="仿宋_GB2312" w:eastAsia="仿宋_GB2312" w:cs="仿宋_GB2312"/>
                <w:b/>
                <w:sz w:val="24"/>
                <w:szCs w:val="24"/>
                <w:lang w:val="en-US" w:eastAsia="zh-CN"/>
              </w:rPr>
            </w:pPr>
            <w:r>
              <w:rPr>
                <w:rFonts w:hint="eastAsia" w:ascii="仿宋_GB2312" w:hAnsi="仿宋_GB2312" w:eastAsia="仿宋_GB2312" w:cs="仿宋_GB2312"/>
                <w:b/>
                <w:sz w:val="24"/>
                <w:szCs w:val="24"/>
                <w:lang w:val="en-US" w:eastAsia="zh-CN"/>
              </w:rPr>
              <w:t>5.配置司机模式</w:t>
            </w:r>
          </w:p>
        </w:tc>
      </w:tr>
    </w:tbl>
    <w:p>
      <w:pPr>
        <w:pStyle w:val="7"/>
        <w:numPr>
          <w:ilvl w:val="0"/>
          <w:numId w:val="0"/>
        </w:numPr>
        <w:spacing w:before="75" w:beforeAutospacing="0" w:after="75" w:afterAutospacing="0"/>
        <w:rPr>
          <w:rFonts w:hint="eastAsia" w:ascii="仿宋_GB2312" w:hAnsi="仿宋_GB2312" w:eastAsia="仿宋_GB2312" w:cs="仿宋_GB2312"/>
          <w:b/>
          <w:color w:val="auto"/>
          <w:lang w:val="en-US" w:eastAsia="zh-CN"/>
        </w:rPr>
      </w:pP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3927"/>
        <w:gridCol w:w="930"/>
        <w:gridCol w:w="4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74" w:type="dxa"/>
            <w:gridSpan w:val="4"/>
            <w:shd w:val="clear" w:color="auto" w:fill="C6D9F1"/>
            <w:noWrap/>
            <w:vAlign w:val="bottom"/>
          </w:tcPr>
          <w:p>
            <w:pPr>
              <w:jc w:val="center"/>
              <w:rPr>
                <w:rFonts w:hint="eastAsia" w:ascii="仿宋_GB2312" w:hAnsi="仿宋_GB2312" w:eastAsia="仿宋_GB2312" w:cs="仿宋_GB2312"/>
                <w:b/>
                <w:color w:val="000000"/>
              </w:rPr>
            </w:pPr>
            <w:r>
              <w:rPr>
                <w:rFonts w:hint="eastAsia" w:ascii="仿宋_GB2312" w:hAnsi="仿宋_GB2312" w:eastAsia="仿宋_GB2312" w:cs="仿宋_GB2312"/>
                <w:b/>
                <w:color w:val="000000"/>
              </w:rPr>
              <w:t>基本功能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74" w:type="dxa"/>
            <w:gridSpan w:val="4"/>
            <w:shd w:val="clear" w:color="auto" w:fill="C6D9F1"/>
            <w:noWrap/>
            <w:vAlign w:val="bottom"/>
          </w:tcPr>
          <w:p>
            <w:pPr>
              <w:jc w:val="center"/>
              <w:rPr>
                <w:rFonts w:hint="eastAsia" w:ascii="仿宋_GB2312" w:hAnsi="仿宋_GB2312" w:eastAsia="仿宋_GB2312" w:cs="仿宋_GB2312"/>
                <w:b/>
                <w:color w:val="000000"/>
              </w:rPr>
            </w:pPr>
            <w:r>
              <w:rPr>
                <w:rFonts w:hint="eastAsia" w:ascii="仿宋_GB2312" w:hAnsi="仿宋_GB2312" w:eastAsia="仿宋_GB2312" w:cs="仿宋_GB2312"/>
                <w:b/>
                <w:color w:val="000000"/>
              </w:rPr>
              <w:t>一、运行功能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全集选</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6</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重新初始化运行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2</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满载直驶</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7</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自动返基站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3</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错误指令取消</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8</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本层厅外开门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4</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开、关门按钮</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9</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起动时力矩补偿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5</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开、关门按钮灯</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10</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直接停靠技术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74" w:type="dxa"/>
            <w:gridSpan w:val="4"/>
            <w:shd w:val="clear" w:color="auto" w:fill="C6D9F1"/>
            <w:noWrap/>
            <w:vAlign w:val="bottom"/>
          </w:tcPr>
          <w:p>
            <w:pPr>
              <w:jc w:val="center"/>
              <w:rPr>
                <w:rFonts w:hint="eastAsia" w:ascii="仿宋_GB2312" w:hAnsi="仿宋_GB2312" w:eastAsia="仿宋_GB2312" w:cs="仿宋_GB2312"/>
                <w:b/>
                <w:color w:val="000000"/>
              </w:rPr>
            </w:pPr>
            <w:r>
              <w:rPr>
                <w:rFonts w:hint="eastAsia" w:ascii="仿宋_GB2312" w:hAnsi="仿宋_GB2312" w:eastAsia="仿宋_GB2312" w:cs="仿宋_GB2312"/>
                <w:b/>
                <w:color w:val="000000"/>
              </w:rPr>
              <w:t>二、安全功能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故障自诊断</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14</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制动器监测装置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2</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故障存储</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15</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端站强制减速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3</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供电电源反馈检测</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16</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缓冲器安全保护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4</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超载保护</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17</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开机自检保护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5</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光幕保护</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18</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马达防堵转功能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6</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关门力矩保护</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19</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封星功能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7</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门联锁保护</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20</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曳引绳防松脱检测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8</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非平层区不开门</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21</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电子称重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9</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下行超速保护</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22</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电气安全回路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10</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上行超速保护</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23</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轿厢意外移动保护装置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11</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方向反馈检测</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24</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 xml:space="preserve">层门和轿门旁路装置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12</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抱闸反馈检测功能</w:t>
            </w:r>
          </w:p>
        </w:tc>
        <w:tc>
          <w:tcPr>
            <w:tcW w:w="912"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25</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门回路检测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13</w:t>
            </w:r>
          </w:p>
        </w:tc>
        <w:tc>
          <w:tcPr>
            <w:tcW w:w="3853" w:type="dxa"/>
            <w:noWrap/>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接触器反馈检测</w:t>
            </w:r>
          </w:p>
        </w:tc>
        <w:tc>
          <w:tcPr>
            <w:tcW w:w="912" w:type="dxa"/>
            <w:noWrap/>
            <w:vAlign w:val="bottom"/>
          </w:tcPr>
          <w:p>
            <w:pPr>
              <w:jc w:val="center"/>
              <w:rPr>
                <w:rFonts w:hint="eastAsia" w:ascii="仿宋_GB2312" w:hAnsi="仿宋_GB2312" w:eastAsia="仿宋_GB2312" w:cs="仿宋_GB2312"/>
              </w:rPr>
            </w:pPr>
          </w:p>
        </w:tc>
        <w:tc>
          <w:tcPr>
            <w:tcW w:w="4096" w:type="dxa"/>
            <w:noWrap w:val="0"/>
            <w:vAlign w:val="bottom"/>
          </w:tcPr>
          <w:p>
            <w:pPr>
              <w:jc w:val="both"/>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74" w:type="dxa"/>
            <w:gridSpan w:val="4"/>
            <w:shd w:val="clear" w:color="auto" w:fill="C6D9F1"/>
            <w:noWrap/>
            <w:vAlign w:val="bottom"/>
          </w:tcPr>
          <w:p>
            <w:pPr>
              <w:jc w:val="center"/>
              <w:rPr>
                <w:rFonts w:hint="eastAsia" w:ascii="仿宋_GB2312" w:hAnsi="仿宋_GB2312" w:eastAsia="仿宋_GB2312" w:cs="仿宋_GB2312"/>
                <w:b/>
                <w:color w:val="000000"/>
              </w:rPr>
            </w:pPr>
            <w:r>
              <w:rPr>
                <w:rFonts w:hint="eastAsia" w:ascii="仿宋_GB2312" w:hAnsi="仿宋_GB2312" w:eastAsia="仿宋_GB2312" w:cs="仿宋_GB2312"/>
                <w:b/>
                <w:color w:val="000000"/>
              </w:rPr>
              <w:t>三、特殊运行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w:t>
            </w:r>
          </w:p>
        </w:tc>
        <w:tc>
          <w:tcPr>
            <w:tcW w:w="3853"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 xml:space="preserve">司机操作 </w:t>
            </w:r>
          </w:p>
        </w:tc>
        <w:tc>
          <w:tcPr>
            <w:tcW w:w="912" w:type="dxa"/>
            <w:noWrap w:val="0"/>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5</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消防层设定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2</w:t>
            </w:r>
          </w:p>
        </w:tc>
        <w:tc>
          <w:tcPr>
            <w:tcW w:w="3853"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司机直驶</w:t>
            </w:r>
          </w:p>
        </w:tc>
        <w:tc>
          <w:tcPr>
            <w:tcW w:w="912" w:type="dxa"/>
            <w:noWrap w:val="0"/>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6</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轿顶检修操纵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3</w:t>
            </w:r>
          </w:p>
        </w:tc>
        <w:tc>
          <w:tcPr>
            <w:tcW w:w="3853"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独立服务</w:t>
            </w:r>
          </w:p>
        </w:tc>
        <w:tc>
          <w:tcPr>
            <w:tcW w:w="912" w:type="dxa"/>
            <w:noWrap w:val="0"/>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7</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特定层服务功能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5008" w:type="dxa"/>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4</w:t>
            </w:r>
          </w:p>
        </w:tc>
        <w:tc>
          <w:tcPr>
            <w:tcW w:w="3853"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基站设定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74" w:type="dxa"/>
            <w:gridSpan w:val="4"/>
            <w:shd w:val="clear" w:color="auto" w:fill="C6D9F1"/>
            <w:noWrap/>
            <w:vAlign w:val="bottom"/>
          </w:tcPr>
          <w:p>
            <w:pPr>
              <w:jc w:val="center"/>
              <w:rPr>
                <w:rFonts w:hint="eastAsia" w:ascii="仿宋_GB2312" w:hAnsi="仿宋_GB2312" w:eastAsia="仿宋_GB2312" w:cs="仿宋_GB2312"/>
                <w:b/>
                <w:color w:val="000000"/>
              </w:rPr>
            </w:pPr>
            <w:r>
              <w:rPr>
                <w:rFonts w:hint="eastAsia" w:ascii="仿宋_GB2312" w:hAnsi="仿宋_GB2312" w:eastAsia="仿宋_GB2312" w:cs="仿宋_GB2312"/>
                <w:b/>
                <w:color w:val="000000"/>
              </w:rPr>
              <w:t>四、人机界面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w:t>
            </w:r>
          </w:p>
        </w:tc>
        <w:tc>
          <w:tcPr>
            <w:tcW w:w="3853"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方向显示</w:t>
            </w:r>
          </w:p>
        </w:tc>
        <w:tc>
          <w:tcPr>
            <w:tcW w:w="912" w:type="dxa"/>
            <w:noWrap w:val="0"/>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4</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到站钟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2</w:t>
            </w:r>
          </w:p>
        </w:tc>
        <w:tc>
          <w:tcPr>
            <w:tcW w:w="3853"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数字式楼层显示</w:t>
            </w:r>
          </w:p>
        </w:tc>
        <w:tc>
          <w:tcPr>
            <w:tcW w:w="912" w:type="dxa"/>
            <w:noWrap w:val="0"/>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5</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开门保持延时功能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3</w:t>
            </w:r>
          </w:p>
        </w:tc>
        <w:tc>
          <w:tcPr>
            <w:tcW w:w="3853"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楼层显示定制</w:t>
            </w:r>
          </w:p>
        </w:tc>
        <w:tc>
          <w:tcPr>
            <w:tcW w:w="912" w:type="dxa"/>
            <w:noWrap w:val="0"/>
            <w:vAlign w:val="bottom"/>
          </w:tcPr>
          <w:p>
            <w:pPr>
              <w:jc w:val="both"/>
              <w:rPr>
                <w:rFonts w:hint="eastAsia" w:ascii="仿宋_GB2312" w:hAnsi="仿宋_GB2312" w:eastAsia="仿宋_GB2312" w:cs="仿宋_GB2312"/>
              </w:rPr>
            </w:pPr>
          </w:p>
        </w:tc>
        <w:tc>
          <w:tcPr>
            <w:tcW w:w="4096" w:type="dxa"/>
            <w:noWrap w:val="0"/>
            <w:vAlign w:val="bottom"/>
          </w:tcPr>
          <w:p>
            <w:pPr>
              <w:jc w:val="both"/>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74" w:type="dxa"/>
            <w:gridSpan w:val="4"/>
            <w:shd w:val="clear" w:color="auto" w:fill="C6D9F1"/>
            <w:noWrap/>
            <w:vAlign w:val="bottom"/>
          </w:tcPr>
          <w:p>
            <w:pPr>
              <w:jc w:val="center"/>
              <w:rPr>
                <w:rFonts w:hint="eastAsia" w:ascii="仿宋_GB2312" w:hAnsi="仿宋_GB2312" w:eastAsia="仿宋_GB2312" w:cs="仿宋_GB2312"/>
                <w:b/>
                <w:color w:val="000000"/>
              </w:rPr>
            </w:pPr>
            <w:r>
              <w:rPr>
                <w:rFonts w:hint="eastAsia" w:ascii="仿宋_GB2312" w:hAnsi="仿宋_GB2312" w:eastAsia="仿宋_GB2312" w:cs="仿宋_GB2312"/>
                <w:b/>
                <w:color w:val="000000"/>
              </w:rPr>
              <w:t>五、应急功能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w:t>
            </w:r>
          </w:p>
        </w:tc>
        <w:tc>
          <w:tcPr>
            <w:tcW w:w="3853"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轿厢警铃</w:t>
            </w:r>
          </w:p>
        </w:tc>
        <w:tc>
          <w:tcPr>
            <w:tcW w:w="912" w:type="dxa"/>
            <w:noWrap w:val="0"/>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4</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消防迫降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2</w:t>
            </w:r>
          </w:p>
        </w:tc>
        <w:tc>
          <w:tcPr>
            <w:tcW w:w="3853"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轿厢内紧急照明</w:t>
            </w:r>
          </w:p>
        </w:tc>
        <w:tc>
          <w:tcPr>
            <w:tcW w:w="912" w:type="dxa"/>
            <w:noWrap w:val="0"/>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5</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消防迫降到位反馈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3</w:t>
            </w:r>
          </w:p>
        </w:tc>
        <w:tc>
          <w:tcPr>
            <w:tcW w:w="3853"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内部通话装置</w:t>
            </w:r>
          </w:p>
        </w:tc>
        <w:tc>
          <w:tcPr>
            <w:tcW w:w="912" w:type="dxa"/>
            <w:noWrap w:val="0"/>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6</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紧急电动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74" w:type="dxa"/>
            <w:gridSpan w:val="4"/>
            <w:shd w:val="clear" w:color="auto" w:fill="C6D9F1"/>
            <w:noWrap/>
            <w:vAlign w:val="bottom"/>
          </w:tcPr>
          <w:p>
            <w:pPr>
              <w:jc w:val="center"/>
              <w:rPr>
                <w:rFonts w:hint="eastAsia" w:ascii="仿宋_GB2312" w:hAnsi="仿宋_GB2312" w:eastAsia="仿宋_GB2312" w:cs="仿宋_GB2312"/>
                <w:b/>
                <w:color w:val="000000"/>
              </w:rPr>
            </w:pPr>
            <w:r>
              <w:rPr>
                <w:rFonts w:hint="eastAsia" w:ascii="仿宋_GB2312" w:hAnsi="仿宋_GB2312" w:eastAsia="仿宋_GB2312" w:cs="仿宋_GB2312"/>
                <w:b/>
                <w:color w:val="000000"/>
              </w:rPr>
              <w:t>六、节能功能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3" w:type="dxa"/>
            <w:noWrap/>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1</w:t>
            </w:r>
          </w:p>
        </w:tc>
        <w:tc>
          <w:tcPr>
            <w:tcW w:w="3853"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停梯开关</w:t>
            </w:r>
          </w:p>
        </w:tc>
        <w:tc>
          <w:tcPr>
            <w:tcW w:w="912" w:type="dxa"/>
            <w:noWrap w:val="0"/>
            <w:vAlign w:val="bottom"/>
          </w:tcPr>
          <w:p>
            <w:pPr>
              <w:jc w:val="center"/>
              <w:rPr>
                <w:rFonts w:hint="eastAsia" w:ascii="仿宋_GB2312" w:hAnsi="仿宋_GB2312" w:eastAsia="仿宋_GB2312" w:cs="仿宋_GB2312"/>
              </w:rPr>
            </w:pPr>
            <w:r>
              <w:rPr>
                <w:rFonts w:hint="eastAsia" w:ascii="仿宋_GB2312" w:hAnsi="仿宋_GB2312" w:eastAsia="仿宋_GB2312" w:cs="仿宋_GB2312"/>
              </w:rPr>
              <w:t>2</w:t>
            </w:r>
          </w:p>
        </w:tc>
        <w:tc>
          <w:tcPr>
            <w:tcW w:w="4096" w:type="dxa"/>
            <w:noWrap w:val="0"/>
            <w:vAlign w:val="bottom"/>
          </w:tcPr>
          <w:p>
            <w:pPr>
              <w:jc w:val="both"/>
              <w:rPr>
                <w:rFonts w:hint="eastAsia" w:ascii="仿宋_GB2312" w:hAnsi="仿宋_GB2312" w:eastAsia="仿宋_GB2312" w:cs="仿宋_GB2312"/>
              </w:rPr>
            </w:pPr>
            <w:r>
              <w:rPr>
                <w:rFonts w:hint="eastAsia" w:ascii="仿宋_GB2312" w:hAnsi="仿宋_GB2312" w:eastAsia="仿宋_GB2312" w:cs="仿宋_GB2312"/>
              </w:rPr>
              <w:t>节能待机</w:t>
            </w:r>
          </w:p>
        </w:tc>
      </w:tr>
    </w:tbl>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480" w:firstLineChars="200"/>
        <w:jc w:val="left"/>
        <w:textAlignment w:val="auto"/>
        <w:rPr>
          <w:rFonts w:hint="eastAsia" w:ascii="宋体" w:hAnsi="宋体" w:eastAsia="宋体" w:cs="宋体"/>
          <w:b w:val="0"/>
          <w:bCs w:val="0"/>
          <w:color w:val="0000FF"/>
          <w:sz w:val="24"/>
          <w:highlight w:val="none"/>
          <w:lang w:val="en-US"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480" w:firstLineChars="200"/>
        <w:jc w:val="left"/>
        <w:textAlignment w:val="auto"/>
        <w:rPr>
          <w:rFonts w:hint="eastAsia" w:ascii="宋体" w:hAnsi="宋体" w:eastAsia="宋体" w:cs="宋体"/>
          <w:b w:val="0"/>
          <w:bCs w:val="0"/>
          <w:color w:val="0000FF"/>
          <w:sz w:val="24"/>
          <w:highlight w:val="none"/>
          <w:lang w:val="en-US"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480" w:firstLineChars="200"/>
        <w:jc w:val="left"/>
        <w:textAlignment w:val="auto"/>
        <w:rPr>
          <w:rFonts w:hint="eastAsia" w:ascii="宋体" w:hAnsi="宋体" w:eastAsia="宋体" w:cs="宋体"/>
          <w:b w:val="0"/>
          <w:bCs w:val="0"/>
          <w:color w:val="0000FF"/>
          <w:sz w:val="24"/>
          <w:highlight w:val="none"/>
          <w:lang w:val="en-US"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480" w:firstLineChars="200"/>
        <w:jc w:val="left"/>
        <w:textAlignment w:val="auto"/>
        <w:rPr>
          <w:rFonts w:hint="eastAsia" w:ascii="宋体" w:hAnsi="宋体" w:eastAsia="宋体" w:cs="宋体"/>
          <w:b w:val="0"/>
          <w:bCs w:val="0"/>
          <w:color w:val="0000FF"/>
          <w:sz w:val="24"/>
          <w:highlight w:val="none"/>
          <w:lang w:val="en-US"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480" w:firstLineChars="200"/>
        <w:jc w:val="left"/>
        <w:textAlignment w:val="auto"/>
        <w:rPr>
          <w:rFonts w:hint="eastAsia" w:ascii="宋体" w:hAnsi="宋体" w:eastAsia="宋体" w:cs="宋体"/>
          <w:b w:val="0"/>
          <w:bCs w:val="0"/>
          <w:color w:val="0000FF"/>
          <w:sz w:val="24"/>
          <w:highlight w:val="none"/>
          <w:lang w:val="en-US"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val="en-US"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三明市海兴物资配送有限公司</w:t>
      </w:r>
      <w:r>
        <w:rPr>
          <w:rFonts w:hint="eastAsia"/>
          <w:color w:val="auto"/>
          <w:highlight w:val="none"/>
        </w:rPr>
        <w:t>（比选人）：</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电梯设备采购及安装项目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电梯设备采购及安装项目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7"/>
        <w:keepNext w:val="0"/>
        <w:keepLines w:val="0"/>
        <w:pageBreakBefore w:val="0"/>
        <w:numPr>
          <w:ilvl w:val="0"/>
          <w:numId w:val="3"/>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7"/>
        <w:keepNext w:val="0"/>
        <w:keepLines w:val="0"/>
        <w:pageBreakBefore w:val="0"/>
        <w:numPr>
          <w:ilvl w:val="0"/>
          <w:numId w:val="3"/>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其他证明文件。</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比选公告（邀请书）</w:t>
      </w:r>
      <w:r>
        <w:rPr>
          <w:rFonts w:hint="eastAsia"/>
          <w:color w:val="auto"/>
          <w:highlight w:val="none"/>
          <w:lang w:val="en-US" w:eastAsia="zh-CN"/>
        </w:rPr>
        <w:t>规定及要求与比选人签订合同；</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2"/>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2"/>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2"/>
              <w:jc w:val="center"/>
              <w:rPr>
                <w:rFonts w:hint="eastAsia" w:ascii="宋体" w:cs="仿宋_GB2312"/>
                <w:color w:val="auto"/>
                <w:spacing w:val="14"/>
                <w:szCs w:val="21"/>
                <w:highlight w:val="none"/>
              </w:rPr>
            </w:pPr>
          </w:p>
        </w:tc>
        <w:tc>
          <w:tcPr>
            <w:tcW w:w="144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2"/>
              <w:jc w:val="center"/>
              <w:rPr>
                <w:rFonts w:hint="eastAsia" w:ascii="宋体" w:cs="仿宋_GB2312"/>
                <w:color w:val="auto"/>
                <w:spacing w:val="14"/>
                <w:szCs w:val="21"/>
                <w:highlight w:val="none"/>
              </w:rPr>
            </w:pPr>
          </w:p>
        </w:tc>
        <w:tc>
          <w:tcPr>
            <w:tcW w:w="144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2"/>
              <w:jc w:val="center"/>
              <w:rPr>
                <w:rFonts w:hint="eastAsia" w:ascii="宋体" w:cs="仿宋_GB2312"/>
                <w:color w:val="auto"/>
                <w:spacing w:val="14"/>
                <w:szCs w:val="21"/>
                <w:highlight w:val="none"/>
              </w:rPr>
            </w:pPr>
          </w:p>
        </w:tc>
        <w:tc>
          <w:tcPr>
            <w:tcW w:w="144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2"/>
              <w:jc w:val="center"/>
              <w:rPr>
                <w:rFonts w:hint="eastAsia" w:ascii="宋体" w:cs="仿宋_GB2312"/>
                <w:color w:val="auto"/>
                <w:spacing w:val="14"/>
                <w:szCs w:val="21"/>
                <w:highlight w:val="none"/>
              </w:rPr>
            </w:pPr>
          </w:p>
        </w:tc>
        <w:tc>
          <w:tcPr>
            <w:tcW w:w="144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2"/>
              <w:rPr>
                <w:rFonts w:hint="eastAsia" w:ascii="宋体" w:cs="仿宋_GB2312"/>
                <w:color w:val="auto"/>
                <w:spacing w:val="14"/>
                <w:szCs w:val="21"/>
                <w:highlight w:val="none"/>
              </w:rPr>
            </w:pPr>
          </w:p>
          <w:p>
            <w:pPr>
              <w:pStyle w:val="12"/>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2"/>
        <w:rPr>
          <w:rFonts w:hint="eastAsia" w:ascii="宋体" w:cs="仿宋_GB2312"/>
          <w:color w:val="auto"/>
          <w:spacing w:val="14"/>
          <w:sz w:val="24"/>
          <w:highlight w:val="none"/>
        </w:rPr>
      </w:pPr>
    </w:p>
    <w:p>
      <w:pPr>
        <w:pStyle w:val="12"/>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2"/>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2"/>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w:t>
      </w:r>
      <w:r>
        <w:rPr>
          <w:rFonts w:hint="eastAsia" w:ascii="宋体" w:hAnsi="宋体" w:eastAsia="宋体" w:cs="宋体"/>
          <w:b/>
          <w:bCs w:val="0"/>
          <w:i w:val="0"/>
          <w:iCs w:val="0"/>
          <w:color w:val="auto"/>
          <w:szCs w:val="21"/>
          <w:highlight w:val="none"/>
          <w:u w:val="double"/>
          <w:lang w:eastAsia="zh-CN"/>
        </w:rPr>
        <w:t>资质证书复印件</w:t>
      </w:r>
      <w:r>
        <w:rPr>
          <w:rFonts w:hint="eastAsia" w:ascii="宋体" w:hAnsi="宋体" w:eastAsia="宋体" w:cs="宋体"/>
          <w:b/>
          <w:bCs w:val="0"/>
          <w:color w:val="auto"/>
          <w:szCs w:val="21"/>
          <w:highlight w:val="none"/>
          <w:u w:val="double"/>
          <w:lang w:eastAsia="zh-CN"/>
        </w:rPr>
        <w:t>，并加盖单位公章</w:t>
      </w:r>
      <w:r>
        <w:rPr>
          <w:rFonts w:hint="eastAsia" w:ascii="宋体"/>
          <w:b/>
          <w:bCs w:val="0"/>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7"/>
        <w:shd w:val="clear" w:color="auto" w:fill="FFFFFF"/>
        <w:spacing w:before="0" w:beforeAutospacing="0" w:after="0" w:afterAutospacing="0" w:line="560" w:lineRule="atLeast"/>
        <w:ind w:firstLine="640"/>
        <w:rPr>
          <w:color w:val="auto"/>
          <w:highlight w:val="none"/>
          <w:shd w:val="clear" w:color="auto" w:fill="FFFFFF"/>
        </w:rPr>
      </w:pPr>
    </w:p>
    <w:p>
      <w:pPr>
        <w:pStyle w:val="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7"/>
        <w:spacing w:before="0" w:beforeAutospacing="0" w:after="0" w:afterAutospacing="0" w:line="480" w:lineRule="auto"/>
        <w:ind w:firstLine="640"/>
        <w:jc w:val="both"/>
        <w:rPr>
          <w:color w:val="auto"/>
          <w:highlight w:val="none"/>
        </w:rPr>
      </w:pPr>
      <w:r>
        <w:rPr>
          <w:rFonts w:hint="eastAsia"/>
          <w:color w:val="auto"/>
          <w:highlight w:val="none"/>
        </w:rPr>
        <w:t>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color w:val="auto"/>
          <w:highlight w:val="none"/>
          <w:shd w:val="clear" w:color="auto" w:fill="FFFFFF"/>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p>
    <w:p>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1-3.其他证明文件</w:t>
      </w:r>
    </w:p>
    <w:p>
      <w:pPr>
        <w:pStyle w:val="7"/>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p>
    <w:p>
      <w:pPr>
        <w:pStyle w:val="7"/>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pPr>
        <w:pStyle w:val="2"/>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eastAsia"/>
          <w:color w:val="auto"/>
          <w:highlight w:val="none"/>
          <w:lang w:eastAsia="zh-CN"/>
        </w:rPr>
      </w:pPr>
      <w:r>
        <w:rPr>
          <w:rFonts w:hint="eastAsia" w:ascii="宋体" w:hAnsi="宋体" w:eastAsia="宋体" w:cs="宋体"/>
          <w:b/>
          <w:color w:val="auto"/>
          <w:sz w:val="28"/>
          <w:szCs w:val="28"/>
          <w:highlight w:val="none"/>
          <w:lang w:val="en-US" w:eastAsia="zh-CN"/>
        </w:rPr>
        <w:t>除下列要求提供证明材料外，比选申请人还需按评价办法中要求提供的或比选申请人认为需要提供的证明文件，在此处提供。比选申请人提供的证明文件应内容清晰、真实有效，所有复印件均应加盖比选申请人单位公章。</w:t>
      </w:r>
    </w:p>
    <w:p>
      <w:pPr>
        <w:pStyle w:val="4"/>
        <w:numPr>
          <w:ilvl w:val="0"/>
          <w:numId w:val="4"/>
        </w:numP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比选申请人未被列入“信用中国”网站（www.creditchina.gov.cn）失信被执行人名单、重大税收违法案件当事人名单和中国政府采购网（www.ccgp.gov.cn）政府采购严重违法失信行为记录名单。</w:t>
      </w:r>
    </w:p>
    <w:p>
      <w:pPr>
        <w:pStyle w:val="4"/>
        <w:numPr>
          <w:ilvl w:val="0"/>
          <w:numId w:val="4"/>
        </w:numPr>
        <w:rPr>
          <w:rFonts w:hint="default"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比选</w:t>
      </w:r>
      <w:r>
        <w:rPr>
          <w:rFonts w:hint="default" w:ascii="宋体" w:hAnsi="宋体" w:eastAsia="宋体" w:cs="宋体"/>
          <w:b/>
          <w:bCs/>
          <w:color w:val="auto"/>
          <w:kern w:val="2"/>
          <w:sz w:val="28"/>
          <w:szCs w:val="28"/>
          <w:highlight w:val="none"/>
          <w:lang w:val="en-US" w:eastAsia="zh-CN" w:bidi="ar-SA"/>
        </w:rPr>
        <w:t>申请人须提供参</w:t>
      </w:r>
      <w:r>
        <w:rPr>
          <w:rFonts w:hint="eastAsia" w:ascii="宋体" w:hAnsi="宋体" w:eastAsia="宋体" w:cs="宋体"/>
          <w:b/>
          <w:bCs/>
          <w:color w:val="auto"/>
          <w:kern w:val="2"/>
          <w:sz w:val="28"/>
          <w:szCs w:val="28"/>
          <w:highlight w:val="none"/>
          <w:lang w:val="en-US" w:eastAsia="zh-CN" w:bidi="ar-SA"/>
        </w:rPr>
        <w:t>加比选</w:t>
      </w:r>
      <w:r>
        <w:rPr>
          <w:rFonts w:hint="default" w:ascii="宋体" w:hAnsi="宋体" w:eastAsia="宋体" w:cs="宋体"/>
          <w:b/>
          <w:bCs/>
          <w:color w:val="auto"/>
          <w:kern w:val="2"/>
          <w:sz w:val="28"/>
          <w:szCs w:val="28"/>
          <w:highlight w:val="none"/>
          <w:lang w:val="en-US" w:eastAsia="zh-CN" w:bidi="ar-SA"/>
        </w:rPr>
        <w:t>活动前3年内在经营活动中没有重大违法记录的书面声明</w:t>
      </w:r>
      <w:r>
        <w:rPr>
          <w:rFonts w:hint="eastAsia" w:ascii="宋体" w:hAnsi="宋体" w:eastAsia="宋体" w:cs="宋体"/>
          <w:b/>
          <w:bCs/>
          <w:color w:val="auto"/>
          <w:kern w:val="2"/>
          <w:sz w:val="28"/>
          <w:szCs w:val="28"/>
          <w:highlight w:val="none"/>
          <w:lang w:val="en-US" w:eastAsia="zh-CN" w:bidi="ar-SA"/>
        </w:rPr>
        <w:t>。（格式后附）</w:t>
      </w:r>
    </w:p>
    <w:p>
      <w:pPr>
        <w:pStyle w:val="4"/>
        <w:numPr>
          <w:ilvl w:val="0"/>
          <w:numId w:val="0"/>
        </w:numPr>
        <w:rPr>
          <w:rFonts w:hint="default" w:ascii="宋体" w:hAnsi="宋体" w:eastAsia="宋体" w:cs="宋体"/>
          <w:b/>
          <w:bCs/>
          <w:color w:val="auto"/>
          <w:kern w:val="2"/>
          <w:sz w:val="28"/>
          <w:szCs w:val="28"/>
          <w:highlight w:val="none"/>
          <w:lang w:val="en-US" w:eastAsia="zh-CN" w:bidi="ar-SA"/>
        </w:rPr>
      </w:pPr>
    </w:p>
    <w:p>
      <w:pPr>
        <w:pStyle w:val="4"/>
        <w:numPr>
          <w:ilvl w:val="0"/>
          <w:numId w:val="0"/>
        </w:numPr>
        <w:rPr>
          <w:rFonts w:hint="default" w:ascii="宋体" w:hAnsi="宋体" w:eastAsia="宋体" w:cs="宋体"/>
          <w:b/>
          <w:bCs/>
          <w:color w:val="auto"/>
          <w:kern w:val="2"/>
          <w:sz w:val="28"/>
          <w:szCs w:val="28"/>
          <w:highlight w:val="none"/>
          <w:lang w:val="en-US" w:eastAsia="zh-CN" w:bidi="ar-SA"/>
        </w:rPr>
      </w:pPr>
    </w:p>
    <w:p>
      <w:pPr>
        <w:pStyle w:val="4"/>
        <w:numPr>
          <w:ilvl w:val="0"/>
          <w:numId w:val="0"/>
        </w:numPr>
        <w:rPr>
          <w:rFonts w:hint="default" w:ascii="宋体" w:hAnsi="宋体" w:eastAsia="宋体" w:cs="宋体"/>
          <w:b/>
          <w:bCs/>
          <w:color w:val="auto"/>
          <w:kern w:val="2"/>
          <w:sz w:val="28"/>
          <w:szCs w:val="28"/>
          <w:highlight w:val="none"/>
          <w:lang w:val="en-US" w:eastAsia="zh-CN" w:bidi="ar-SA"/>
        </w:rPr>
      </w:pPr>
    </w:p>
    <w:p>
      <w:pPr>
        <w:pStyle w:val="4"/>
        <w:numPr>
          <w:ilvl w:val="0"/>
          <w:numId w:val="0"/>
        </w:numPr>
        <w:rPr>
          <w:rFonts w:hint="default" w:ascii="宋体" w:hAnsi="宋体" w:eastAsia="宋体" w:cs="宋体"/>
          <w:b/>
          <w:bCs/>
          <w:color w:val="auto"/>
          <w:kern w:val="2"/>
          <w:sz w:val="28"/>
          <w:szCs w:val="28"/>
          <w:highlight w:val="none"/>
          <w:lang w:val="en-US" w:eastAsia="zh-CN" w:bidi="ar-SA"/>
        </w:rPr>
      </w:pPr>
    </w:p>
    <w:p>
      <w:pPr>
        <w:pStyle w:val="4"/>
        <w:numPr>
          <w:ilvl w:val="0"/>
          <w:numId w:val="0"/>
        </w:numPr>
        <w:rPr>
          <w:rFonts w:hint="default" w:ascii="宋体" w:hAnsi="宋体" w:eastAsia="宋体" w:cs="宋体"/>
          <w:b/>
          <w:bCs/>
          <w:color w:val="auto"/>
          <w:kern w:val="2"/>
          <w:sz w:val="28"/>
          <w:szCs w:val="28"/>
          <w:highlight w:val="none"/>
          <w:lang w:val="en-US" w:eastAsia="zh-CN" w:bidi="ar-SA"/>
        </w:rPr>
      </w:pPr>
    </w:p>
    <w:p>
      <w:pPr>
        <w:pStyle w:val="4"/>
        <w:numPr>
          <w:ilvl w:val="0"/>
          <w:numId w:val="0"/>
        </w:numPr>
        <w:rPr>
          <w:rFonts w:hint="default" w:ascii="宋体" w:hAnsi="宋体" w:eastAsia="宋体" w:cs="宋体"/>
          <w:b/>
          <w:bCs/>
          <w:color w:val="auto"/>
          <w:kern w:val="2"/>
          <w:sz w:val="28"/>
          <w:szCs w:val="28"/>
          <w:highlight w:val="none"/>
          <w:lang w:val="en-US" w:eastAsia="zh-CN" w:bidi="ar-SA"/>
        </w:rPr>
      </w:pPr>
    </w:p>
    <w:p>
      <w:pPr>
        <w:pStyle w:val="4"/>
        <w:numPr>
          <w:ilvl w:val="0"/>
          <w:numId w:val="0"/>
        </w:numPr>
        <w:rPr>
          <w:rFonts w:hint="default" w:ascii="宋体" w:hAnsi="宋体" w:eastAsia="宋体" w:cs="宋体"/>
          <w:b/>
          <w:bCs/>
          <w:color w:val="auto"/>
          <w:kern w:val="2"/>
          <w:sz w:val="28"/>
          <w:szCs w:val="28"/>
          <w:highlight w:val="none"/>
          <w:lang w:val="en-US" w:eastAsia="zh-CN" w:bidi="ar-SA"/>
        </w:rPr>
      </w:pPr>
    </w:p>
    <w:p>
      <w:pPr>
        <w:pStyle w:val="4"/>
        <w:numPr>
          <w:ilvl w:val="0"/>
          <w:numId w:val="0"/>
        </w:numPr>
        <w:rPr>
          <w:rFonts w:hint="default" w:ascii="宋体" w:hAnsi="宋体" w:eastAsia="宋体" w:cs="宋体"/>
          <w:b/>
          <w:bCs/>
          <w:color w:val="auto"/>
          <w:kern w:val="2"/>
          <w:sz w:val="28"/>
          <w:szCs w:val="28"/>
          <w:highlight w:val="none"/>
          <w:lang w:val="en-US" w:eastAsia="zh-CN" w:bidi="ar-SA"/>
        </w:rPr>
      </w:pPr>
    </w:p>
    <w:p>
      <w:pPr>
        <w:jc w:val="both"/>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spacing w:line="440" w:lineRule="exact"/>
        <w:jc w:val="center"/>
        <w:outlineLvl w:val="1"/>
        <w:rPr>
          <w:rFonts w:hint="eastAsia" w:ascii="宋体" w:hAnsi="宋体" w:eastAsia="宋体" w:cs="宋体"/>
          <w:b/>
          <w:color w:val="auto"/>
          <w:kern w:val="2"/>
          <w:sz w:val="36"/>
          <w:szCs w:val="20"/>
          <w:highlight w:val="none"/>
          <w:lang w:val="en-US" w:eastAsia="zh-CN" w:bidi="ar-SA"/>
        </w:rPr>
      </w:pPr>
      <w:r>
        <w:rPr>
          <w:rFonts w:hint="eastAsia" w:ascii="宋体" w:hAnsi="宋体" w:eastAsia="宋体" w:cs="宋体"/>
          <w:b/>
          <w:color w:val="auto"/>
          <w:kern w:val="2"/>
          <w:sz w:val="36"/>
          <w:szCs w:val="20"/>
          <w:highlight w:val="none"/>
          <w:lang w:val="en-US" w:eastAsia="zh-CN" w:bidi="ar-SA"/>
        </w:rPr>
        <w:t>参加比选活动前3年内在经营活动中没有重大违法记录的</w:t>
      </w:r>
    </w:p>
    <w:p>
      <w:pPr>
        <w:spacing w:line="440" w:lineRule="exact"/>
        <w:jc w:val="center"/>
        <w:outlineLvl w:val="1"/>
        <w:rPr>
          <w:rFonts w:hint="eastAsia" w:ascii="宋体" w:hAnsi="宋体" w:cs="宋体"/>
          <w:b/>
          <w:color w:val="auto"/>
          <w:sz w:val="36"/>
          <w:szCs w:val="36"/>
          <w:highlight w:val="none"/>
        </w:rPr>
      </w:pPr>
      <w:r>
        <w:rPr>
          <w:rFonts w:hint="eastAsia" w:ascii="宋体" w:hAnsi="宋体" w:eastAsia="宋体" w:cs="宋体"/>
          <w:b/>
          <w:color w:val="auto"/>
          <w:kern w:val="2"/>
          <w:sz w:val="36"/>
          <w:szCs w:val="20"/>
          <w:highlight w:val="none"/>
          <w:lang w:val="en-US" w:eastAsia="zh-CN" w:bidi="ar-SA"/>
        </w:rPr>
        <w:t>书面声明</w:t>
      </w:r>
    </w:p>
    <w:p>
      <w:pPr>
        <w:spacing w:line="440" w:lineRule="exact"/>
        <w:jc w:val="center"/>
        <w:rPr>
          <w:rFonts w:hint="eastAsia" w:ascii="宋体" w:hAnsi="宋体" w:cs="宋体"/>
          <w:b/>
          <w:color w:val="auto"/>
          <w:sz w:val="30"/>
          <w:szCs w:val="30"/>
          <w:highlight w:val="none"/>
        </w:rPr>
      </w:pPr>
    </w:p>
    <w:p>
      <w:pPr>
        <w:spacing w:line="440" w:lineRule="exact"/>
        <w:rPr>
          <w:rFonts w:hint="eastAsia" w:ascii="宋体" w:hAnsi="宋体" w:cs="宋体"/>
          <w:b/>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w:t>
      </w:r>
      <w:r>
        <w:rPr>
          <w:rFonts w:hint="eastAsia" w:ascii="宋体" w:hAnsi="宋体" w:cs="宋体"/>
          <w:color w:val="auto"/>
          <w:sz w:val="24"/>
          <w:highlight w:val="none"/>
          <w:u w:val="single"/>
          <w:lang w:val="en-US" w:eastAsia="zh-CN"/>
        </w:rPr>
        <w:t>比选人</w:t>
      </w:r>
      <w:r>
        <w:rPr>
          <w:rFonts w:hint="eastAsia" w:ascii="宋体" w:hAnsi="宋体" w:cs="宋体"/>
          <w:color w:val="auto"/>
          <w:sz w:val="24"/>
          <w:highlight w:val="none"/>
          <w:u w:val="single"/>
        </w:rPr>
        <w:t>）</w:t>
      </w:r>
      <w:r>
        <w:rPr>
          <w:rFonts w:hint="eastAsia" w:ascii="宋体" w:hAnsi="宋体" w:cs="宋体"/>
          <w:b/>
          <w:color w:val="auto"/>
          <w:sz w:val="24"/>
          <w:highlight w:val="none"/>
        </w:rPr>
        <w:t>：</w:t>
      </w:r>
    </w:p>
    <w:p>
      <w:pPr>
        <w:spacing w:line="440" w:lineRule="exact"/>
        <w:ind w:firstLine="482" w:firstLineChars="200"/>
        <w:rPr>
          <w:rFonts w:hint="eastAsia" w:ascii="宋体" w:hAnsi="宋体" w:cs="宋体"/>
          <w:b/>
          <w:color w:val="auto"/>
          <w:sz w:val="24"/>
          <w:highlight w:val="none"/>
        </w:rPr>
      </w:pPr>
    </w:p>
    <w:p>
      <w:pPr>
        <w:spacing w:line="440" w:lineRule="exact"/>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参加</w:t>
      </w:r>
      <w:r>
        <w:rPr>
          <w:rFonts w:hint="eastAsia" w:ascii="宋体" w:hAnsi="宋体" w:cs="宋体"/>
          <w:bCs/>
          <w:color w:val="auto"/>
          <w:sz w:val="24"/>
          <w:highlight w:val="none"/>
          <w:lang w:eastAsia="zh-CN"/>
        </w:rPr>
        <w:t>比选活动</w:t>
      </w:r>
      <w:r>
        <w:rPr>
          <w:rFonts w:hint="eastAsia" w:ascii="宋体" w:hAnsi="宋体" w:cs="宋体"/>
          <w:bCs/>
          <w:color w:val="auto"/>
          <w:sz w:val="24"/>
          <w:highlight w:val="none"/>
        </w:rPr>
        <w:t>前三年内，我方在经营活动中没有重大违法记录，即没有因违法经营受到刑事处罚或责令停产停业、吊销许可证或执照、较大数额罚款等行政处罚。否则产生不利后果由我方承担责任。</w:t>
      </w:r>
    </w:p>
    <w:p>
      <w:pPr>
        <w:spacing w:line="440" w:lineRule="exact"/>
        <w:rPr>
          <w:rFonts w:hint="eastAsia" w:ascii="宋体" w:hAnsi="宋体" w:cs="宋体"/>
          <w:b/>
          <w:color w:val="auto"/>
          <w:sz w:val="24"/>
          <w:highlight w:val="none"/>
        </w:rPr>
      </w:pPr>
    </w:p>
    <w:p>
      <w:pPr>
        <w:pStyle w:val="7"/>
        <w:spacing w:before="0" w:beforeAutospacing="0" w:after="0" w:afterAutospacing="0" w:line="400" w:lineRule="exact"/>
        <w:ind w:firstLine="420"/>
        <w:rPr>
          <w:rFonts w:hint="eastAsia"/>
          <w:color w:val="auto"/>
          <w:highlight w:val="none"/>
        </w:rPr>
      </w:pPr>
      <w:r>
        <w:rPr>
          <w:rFonts w:hint="eastAsia"/>
          <w:color w:val="auto"/>
          <w:highlight w:val="none"/>
        </w:rPr>
        <w:t>特此申明。</w:t>
      </w:r>
    </w:p>
    <w:p>
      <w:pPr>
        <w:tabs>
          <w:tab w:val="left" w:pos="6717"/>
        </w:tabs>
        <w:spacing w:line="440" w:lineRule="exact"/>
        <w:rPr>
          <w:rFonts w:hint="eastAsia" w:ascii="宋体" w:hAnsi="宋体" w:cs="宋体"/>
          <w:b/>
          <w:color w:val="auto"/>
          <w:sz w:val="24"/>
          <w:highlight w:val="none"/>
        </w:rPr>
      </w:pPr>
      <w:r>
        <w:rPr>
          <w:rFonts w:hint="eastAsia" w:ascii="宋体" w:hAnsi="宋体" w:cs="宋体"/>
          <w:b/>
          <w:color w:val="auto"/>
          <w:sz w:val="24"/>
          <w:highlight w:val="none"/>
        </w:rPr>
        <w:tab/>
      </w:r>
    </w:p>
    <w:p>
      <w:pPr>
        <w:pStyle w:val="7"/>
        <w:spacing w:before="0" w:beforeAutospacing="0" w:after="0" w:afterAutospacing="0" w:line="400" w:lineRule="exact"/>
        <w:ind w:firstLine="420"/>
        <w:rPr>
          <w:rFonts w:hint="eastAsia"/>
          <w:b/>
          <w:bCs/>
          <w:color w:val="auto"/>
          <w:highlight w:val="none"/>
        </w:rPr>
      </w:pPr>
      <w:r>
        <w:rPr>
          <w:rFonts w:hint="eastAsia"/>
          <w:b/>
          <w:bCs/>
          <w:color w:val="auto"/>
          <w:highlight w:val="none"/>
        </w:rPr>
        <w:t>※注意：</w:t>
      </w:r>
    </w:p>
    <w:p>
      <w:pPr>
        <w:pStyle w:val="7"/>
        <w:spacing w:before="0" w:beforeAutospacing="0" w:after="0" w:afterAutospacing="0" w:line="400" w:lineRule="exact"/>
        <w:ind w:firstLine="420"/>
        <w:rPr>
          <w:rFonts w:hint="eastAsia"/>
          <w:b/>
          <w:bCs/>
          <w:color w:val="auto"/>
          <w:highlight w:val="none"/>
        </w:rPr>
      </w:pPr>
      <w:r>
        <w:rPr>
          <w:rFonts w:hint="eastAsia"/>
          <w:b/>
          <w:bCs/>
          <w:color w:val="auto"/>
          <w:highlight w:val="none"/>
        </w:rPr>
        <w:t>1、“重大违法记录”指</w:t>
      </w:r>
      <w:r>
        <w:rPr>
          <w:rFonts w:hint="eastAsia"/>
          <w:b/>
          <w:bCs/>
          <w:color w:val="auto"/>
          <w:highlight w:val="none"/>
          <w:lang w:eastAsia="zh-CN"/>
        </w:rPr>
        <w:t>比选申请人</w:t>
      </w:r>
      <w:r>
        <w:rPr>
          <w:rFonts w:hint="eastAsia"/>
          <w:b/>
          <w:bCs/>
          <w:color w:val="auto"/>
          <w:highlight w:val="none"/>
        </w:rPr>
        <w:t>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7"/>
        <w:spacing w:before="0" w:beforeAutospacing="0" w:after="0" w:afterAutospacing="0" w:line="400" w:lineRule="exact"/>
        <w:ind w:firstLine="420"/>
        <w:rPr>
          <w:rFonts w:hint="eastAsia"/>
          <w:b/>
          <w:bCs/>
          <w:color w:val="auto"/>
          <w:highlight w:val="none"/>
        </w:rPr>
      </w:pPr>
      <w:r>
        <w:rPr>
          <w:rFonts w:hint="eastAsia"/>
          <w:b/>
          <w:bCs/>
          <w:color w:val="auto"/>
          <w:highlight w:val="none"/>
        </w:rPr>
        <w:t>2、请</w:t>
      </w:r>
      <w:r>
        <w:rPr>
          <w:rFonts w:hint="eastAsia"/>
          <w:b/>
          <w:bCs/>
          <w:color w:val="auto"/>
          <w:highlight w:val="none"/>
          <w:lang w:eastAsia="zh-CN"/>
        </w:rPr>
        <w:t>比选申请人</w:t>
      </w:r>
      <w:r>
        <w:rPr>
          <w:rFonts w:hint="eastAsia"/>
          <w:b/>
          <w:bCs/>
          <w:color w:val="auto"/>
          <w:highlight w:val="none"/>
        </w:rPr>
        <w:t>根据实际情况如实声明，否则视为提供虚假材料。</w:t>
      </w:r>
    </w:p>
    <w:p>
      <w:pPr>
        <w:pStyle w:val="7"/>
        <w:spacing w:before="0" w:beforeAutospacing="0" w:after="0" w:afterAutospacing="0" w:line="400" w:lineRule="exact"/>
        <w:ind w:firstLine="420"/>
        <w:rPr>
          <w:rFonts w:hint="eastAsia"/>
          <w:b/>
          <w:bCs/>
          <w:color w:val="auto"/>
          <w:highlight w:val="none"/>
        </w:rPr>
      </w:pPr>
    </w:p>
    <w:p>
      <w:pPr>
        <w:spacing w:line="440" w:lineRule="exact"/>
        <w:rPr>
          <w:rFonts w:hint="eastAsia" w:ascii="宋体" w:hAnsi="宋体" w:cs="宋体"/>
          <w:b/>
          <w:color w:val="auto"/>
          <w:sz w:val="24"/>
          <w:highlight w:val="none"/>
        </w:rPr>
      </w:pPr>
    </w:p>
    <w:p>
      <w:pPr>
        <w:pStyle w:val="12"/>
        <w:autoSpaceDE w:val="0"/>
        <w:autoSpaceDN w:val="0"/>
        <w:snapToGrid w:val="0"/>
        <w:spacing w:line="360" w:lineRule="auto"/>
        <w:ind w:left="3360" w:leftChars="1600"/>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比选申请人</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pacing w:val="14"/>
          <w:sz w:val="24"/>
          <w:szCs w:val="24"/>
          <w:highlight w:val="none"/>
          <w:u w:val="single"/>
        </w:rPr>
        <w:t xml:space="preserve">       </w:t>
      </w:r>
      <w:r>
        <w:rPr>
          <w:rFonts w:hint="eastAsia" w:ascii="宋体" w:hAnsi="宋体" w:cs="宋体"/>
          <w:color w:val="auto"/>
          <w:spacing w:val="14"/>
          <w:sz w:val="24"/>
          <w:szCs w:val="24"/>
          <w:highlight w:val="none"/>
        </w:rPr>
        <w:t>（盖</w:t>
      </w:r>
      <w:r>
        <w:rPr>
          <w:rFonts w:hint="eastAsia" w:ascii="宋体" w:hAnsi="宋体" w:cs="宋体"/>
          <w:color w:val="auto"/>
          <w:spacing w:val="14"/>
          <w:sz w:val="24"/>
          <w:szCs w:val="24"/>
          <w:highlight w:val="none"/>
          <w:lang w:eastAsia="zh-CN"/>
        </w:rPr>
        <w:t>比选申请人</w:t>
      </w:r>
      <w:r>
        <w:rPr>
          <w:rFonts w:hint="eastAsia" w:ascii="宋体" w:hAnsi="宋体" w:cs="宋体"/>
          <w:color w:val="auto"/>
          <w:spacing w:val="14"/>
          <w:sz w:val="24"/>
          <w:szCs w:val="24"/>
          <w:highlight w:val="none"/>
        </w:rPr>
        <w:t>单位公章）</w:t>
      </w:r>
      <w:r>
        <w:rPr>
          <w:rFonts w:hint="eastAsia" w:ascii="宋体" w:hAnsi="宋体" w:cs="宋体"/>
          <w:color w:val="auto"/>
          <w:sz w:val="24"/>
          <w:szCs w:val="24"/>
          <w:highlight w:val="none"/>
        </w:rPr>
        <w:t xml:space="preserve"> </w:t>
      </w:r>
    </w:p>
    <w:p>
      <w:pPr>
        <w:pStyle w:val="12"/>
        <w:autoSpaceDE w:val="0"/>
        <w:autoSpaceDN w:val="0"/>
        <w:snapToGrid w:val="0"/>
        <w:spacing w:line="360" w:lineRule="auto"/>
        <w:ind w:left="3360" w:leftChars="1600"/>
        <w:rPr>
          <w:rFonts w:hint="eastAsia" w:ascii="宋体" w:hAnsi="宋体" w:cs="宋体"/>
          <w:color w:val="auto"/>
          <w:spacing w:val="11"/>
          <w:sz w:val="24"/>
          <w:szCs w:val="24"/>
          <w:highlight w:val="none"/>
        </w:rPr>
      </w:pPr>
      <w:r>
        <w:rPr>
          <w:rFonts w:hint="eastAsia" w:ascii="宋体" w:hAnsi="宋体" w:cs="宋体"/>
          <w:color w:val="auto"/>
          <w:spacing w:val="11"/>
          <w:sz w:val="24"/>
          <w:szCs w:val="24"/>
          <w:highlight w:val="none"/>
        </w:rPr>
        <w:t>法定</w:t>
      </w:r>
      <w:r>
        <w:rPr>
          <w:rFonts w:hint="eastAsia" w:ascii="宋体" w:hAnsi="宋体" w:cs="宋体"/>
          <w:color w:val="auto"/>
          <w:sz w:val="24"/>
          <w:szCs w:val="24"/>
          <w:highlight w:val="none"/>
        </w:rPr>
        <w:t>代表人</w:t>
      </w:r>
      <w:r>
        <w:rPr>
          <w:rFonts w:hint="eastAsia" w:ascii="宋体" w:hAnsi="宋体" w:cs="宋体"/>
          <w:color w:val="auto"/>
          <w:spacing w:val="11"/>
          <w:sz w:val="24"/>
          <w:szCs w:val="24"/>
          <w:highlight w:val="none"/>
        </w:rPr>
        <w:t>或授权委托人：</w:t>
      </w:r>
      <w:r>
        <w:rPr>
          <w:rFonts w:hint="eastAsia" w:ascii="宋体" w:hAnsi="宋体" w:cs="宋体"/>
          <w:color w:val="auto"/>
          <w:spacing w:val="11"/>
          <w:sz w:val="24"/>
          <w:szCs w:val="24"/>
          <w:highlight w:val="none"/>
          <w:u w:val="single"/>
        </w:rPr>
        <w:t xml:space="preserve">      </w:t>
      </w:r>
      <w:r>
        <w:rPr>
          <w:rFonts w:hint="eastAsia" w:ascii="宋体" w:hAnsi="宋体" w:cs="宋体"/>
          <w:color w:val="auto"/>
          <w:spacing w:val="11"/>
          <w:sz w:val="24"/>
          <w:szCs w:val="24"/>
          <w:highlight w:val="none"/>
        </w:rPr>
        <w:t>（签字或盖章）</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right"/>
        <w:textAlignment w:val="auto"/>
        <w:rPr>
          <w:rFonts w:hint="eastAsia" w:ascii="黑体" w:hAnsi="黑体" w:eastAsia="黑体" w:cs="黑体"/>
          <w:color w:val="auto"/>
          <w:sz w:val="32"/>
          <w:szCs w:val="32"/>
          <w:highlight w:val="none"/>
          <w:shd w:val="clear" w:color="auto" w:fill="FFFFFF"/>
          <w:lang w:eastAsia="zh-CN"/>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7"/>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8"/>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报</w:t>
            </w:r>
            <w:r>
              <w:rPr>
                <w:rFonts w:hint="eastAsia" w:ascii="宋体" w:hAnsi="宋体" w:eastAsia="宋体" w:cs="宋体"/>
                <w:color w:val="auto"/>
                <w:kern w:val="0"/>
                <w:sz w:val="24"/>
                <w:szCs w:val="24"/>
                <w:lang w:val="en-US" w:eastAsia="zh-CN" w:bidi="ar-SA"/>
              </w:rPr>
              <w:t>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交货期限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质量保证期</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后附分项报价报价明细单</w:t>
            </w:r>
          </w:p>
        </w:tc>
      </w:tr>
    </w:tbl>
    <w:p>
      <w:pPr>
        <w:pStyle w:val="7"/>
        <w:spacing w:before="0" w:beforeAutospacing="0" w:after="0" w:afterAutospacing="0" w:line="480" w:lineRule="auto"/>
        <w:jc w:val="both"/>
        <w:rPr>
          <w:color w:val="auto"/>
          <w:highlight w:val="none"/>
        </w:rPr>
      </w:pP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4"/>
        <w:keepNext w:val="0"/>
        <w:keepLines w:val="0"/>
        <w:pageBreakBefore w:val="0"/>
        <w:widowControl w:val="0"/>
        <w:numPr>
          <w:ilvl w:val="0"/>
          <w:numId w:val="5"/>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报价函（含分项报价表）应独立密封。</w:t>
      </w:r>
    </w:p>
    <w:p>
      <w:pPr>
        <w:pStyle w:val="4"/>
        <w:keepNext w:val="0"/>
        <w:keepLines w:val="0"/>
        <w:pageBreakBefore w:val="0"/>
        <w:widowControl w:val="0"/>
        <w:numPr>
          <w:ilvl w:val="0"/>
          <w:numId w:val="5"/>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pPr>
        <w:rPr>
          <w:rFonts w:hint="eastAsia" w:ascii="宋体" w:hAnsi="宋体" w:eastAsia="宋体" w:cs="宋体"/>
          <w:color w:val="auto"/>
          <w:sz w:val="24"/>
          <w:szCs w:val="24"/>
          <w:highlight w:val="cyan"/>
          <w:lang w:val="en-US" w:eastAsia="zh-CN"/>
        </w:rPr>
      </w:pPr>
    </w:p>
    <w:p>
      <w:pPr>
        <w:rPr>
          <w:rFonts w:hint="eastAsia" w:ascii="宋体" w:hAnsi="宋体" w:eastAsia="宋体" w:cs="宋体"/>
          <w:color w:val="auto"/>
          <w:sz w:val="24"/>
          <w:szCs w:val="24"/>
          <w:highlight w:val="cyan"/>
          <w:lang w:val="en-US" w:eastAsia="zh-CN"/>
        </w:rPr>
      </w:pPr>
    </w:p>
    <w:p>
      <w:pPr>
        <w:rPr>
          <w:rFonts w:hint="eastAsia" w:ascii="宋体" w:hAnsi="宋体" w:eastAsia="宋体" w:cs="宋体"/>
          <w:color w:val="auto"/>
          <w:sz w:val="24"/>
          <w:szCs w:val="24"/>
          <w:highlight w:val="cyan"/>
          <w:lang w:val="en-US" w:eastAsia="zh-CN"/>
        </w:rPr>
      </w:pPr>
    </w:p>
    <w:p>
      <w:pPr>
        <w:rPr>
          <w:rFonts w:hint="eastAsia" w:ascii="宋体" w:hAnsi="宋体" w:eastAsia="宋体" w:cs="宋体"/>
          <w:color w:val="auto"/>
          <w:sz w:val="24"/>
          <w:szCs w:val="24"/>
          <w:highlight w:val="cyan"/>
          <w:lang w:val="en-US" w:eastAsia="zh-CN"/>
        </w:rPr>
      </w:pPr>
    </w:p>
    <w:p>
      <w:pPr>
        <w:spacing w:line="560" w:lineRule="exact"/>
        <w:jc w:val="center"/>
        <w:rPr>
          <w:rFonts w:hint="eastAsia" w:ascii="方正小标宋简体" w:hAnsi="方正小标宋简体" w:eastAsia="方正小标宋简体" w:cs="方正小标宋简体"/>
          <w:color w:val="000000"/>
          <w:sz w:val="44"/>
          <w:szCs w:val="44"/>
          <w:lang w:eastAsia="zh-CN"/>
        </w:rPr>
      </w:pPr>
      <w:r>
        <w:rPr>
          <w:rFonts w:hint="eastAsia" w:ascii="方正小标宋简体" w:hAnsi="方正小标宋简体" w:eastAsia="方正小标宋简体" w:cs="方正小标宋简体"/>
          <w:color w:val="000000"/>
          <w:sz w:val="44"/>
          <w:szCs w:val="44"/>
          <w:lang w:eastAsia="zh-CN"/>
        </w:rPr>
        <w:t>电梯设备采购及安装项目报价明细单</w:t>
      </w:r>
    </w:p>
    <w:p>
      <w:pPr>
        <w:spacing w:line="560" w:lineRule="exact"/>
        <w:rPr>
          <w:rFonts w:hint="eastAsia" w:ascii="宋体" w:hAnsi="宋体" w:cs="方正小标宋简体"/>
          <w:bCs/>
          <w:sz w:val="28"/>
          <w:szCs w:val="28"/>
        </w:rPr>
      </w:pP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3"/>
        <w:gridCol w:w="4471"/>
        <w:gridCol w:w="1745"/>
        <w:gridCol w:w="2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519" w:type="pct"/>
            <w:noWrap/>
            <w:vAlign w:val="center"/>
          </w:tcPr>
          <w:p>
            <w:pPr>
              <w:spacing w:line="560" w:lineRule="exact"/>
              <w:jc w:val="cente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序号</w:t>
            </w:r>
          </w:p>
        </w:tc>
        <w:tc>
          <w:tcPr>
            <w:tcW w:w="2245" w:type="pct"/>
            <w:noWrap/>
            <w:vAlign w:val="center"/>
          </w:tcPr>
          <w:p>
            <w:pPr>
              <w:spacing w:line="560" w:lineRule="exact"/>
              <w:jc w:val="cente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项目</w:t>
            </w:r>
          </w:p>
        </w:tc>
        <w:tc>
          <w:tcPr>
            <w:tcW w:w="876" w:type="pct"/>
            <w:noWrap/>
            <w:vAlign w:val="center"/>
          </w:tcPr>
          <w:p>
            <w:pPr>
              <w:spacing w:line="560" w:lineRule="exact"/>
              <w:jc w:val="center"/>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rPr>
              <w:t>单位</w:t>
            </w:r>
          </w:p>
        </w:tc>
        <w:tc>
          <w:tcPr>
            <w:tcW w:w="1358" w:type="pct"/>
            <w:noWrap/>
            <w:vAlign w:val="center"/>
          </w:tcPr>
          <w:p>
            <w:pPr>
              <w:spacing w:line="560" w:lineRule="exact"/>
              <w:jc w:val="cente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519" w:type="pct"/>
            <w:noWrap/>
            <w:vAlign w:val="center"/>
          </w:tcPr>
          <w:p>
            <w:pPr>
              <w:spacing w:line="560" w:lineRule="exact"/>
              <w:jc w:val="cente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w:t>
            </w:r>
          </w:p>
        </w:tc>
        <w:tc>
          <w:tcPr>
            <w:tcW w:w="2245" w:type="pct"/>
            <w:noWrap/>
            <w:vAlign w:val="center"/>
          </w:tcPr>
          <w:p>
            <w:pPr>
              <w:spacing w:line="560" w:lineRule="exact"/>
              <w:jc w:val="center"/>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电梯设备价格</w:t>
            </w:r>
          </w:p>
        </w:tc>
        <w:tc>
          <w:tcPr>
            <w:tcW w:w="876" w:type="pct"/>
            <w:noWrap/>
            <w:vAlign w:val="center"/>
          </w:tcPr>
          <w:p>
            <w:pPr>
              <w:spacing w:line="560" w:lineRule="exact"/>
              <w:jc w:val="center"/>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val="en-US" w:eastAsia="zh-CN"/>
              </w:rPr>
              <w:t>元</w:t>
            </w:r>
          </w:p>
        </w:tc>
        <w:tc>
          <w:tcPr>
            <w:tcW w:w="1358" w:type="pct"/>
            <w:noWrap/>
            <w:vAlign w:val="center"/>
          </w:tcPr>
          <w:p>
            <w:pPr>
              <w:spacing w:line="560" w:lineRule="exact"/>
              <w:jc w:val="center"/>
              <w:rPr>
                <w:rFonts w:hint="eastAsia" w:ascii="仿宋_GB2312" w:hAnsi="仿宋_GB2312" w:eastAsia="仿宋_GB2312" w:cs="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519" w:type="pct"/>
            <w:noWrap/>
            <w:vAlign w:val="center"/>
          </w:tcPr>
          <w:p>
            <w:pPr>
              <w:spacing w:line="560" w:lineRule="exact"/>
              <w:jc w:val="cente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w:t>
            </w:r>
          </w:p>
        </w:tc>
        <w:tc>
          <w:tcPr>
            <w:tcW w:w="2245" w:type="pct"/>
            <w:noWrap/>
            <w:vAlign w:val="center"/>
          </w:tcPr>
          <w:p>
            <w:pPr>
              <w:spacing w:line="560" w:lineRule="exact"/>
              <w:jc w:val="center"/>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val="en-US" w:eastAsia="zh-CN"/>
              </w:rPr>
              <w:t>拆卸费用</w:t>
            </w:r>
          </w:p>
        </w:tc>
        <w:tc>
          <w:tcPr>
            <w:tcW w:w="876" w:type="pct"/>
            <w:noWrap/>
            <w:vAlign w:val="center"/>
          </w:tcPr>
          <w:p>
            <w:pPr>
              <w:spacing w:line="560" w:lineRule="exact"/>
              <w:jc w:val="center"/>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eastAsia="zh-CN"/>
              </w:rPr>
              <w:t>元</w:t>
            </w:r>
          </w:p>
        </w:tc>
        <w:tc>
          <w:tcPr>
            <w:tcW w:w="1358" w:type="pct"/>
            <w:noWrap/>
            <w:vAlign w:val="center"/>
          </w:tcPr>
          <w:p>
            <w:pPr>
              <w:spacing w:line="560" w:lineRule="exact"/>
              <w:jc w:val="center"/>
              <w:rPr>
                <w:rFonts w:hint="eastAsia" w:ascii="仿宋_GB2312" w:hAnsi="仿宋_GB2312" w:eastAsia="仿宋_GB2312" w:cs="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519" w:type="pct"/>
            <w:noWrap/>
            <w:vAlign w:val="center"/>
          </w:tcPr>
          <w:p>
            <w:pPr>
              <w:spacing w:line="560" w:lineRule="exact"/>
              <w:jc w:val="center"/>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3</w:t>
            </w:r>
          </w:p>
        </w:tc>
        <w:tc>
          <w:tcPr>
            <w:tcW w:w="2245" w:type="pct"/>
            <w:noWrap/>
            <w:vAlign w:val="center"/>
          </w:tcPr>
          <w:p>
            <w:pPr>
              <w:spacing w:line="560" w:lineRule="exact"/>
              <w:jc w:val="center"/>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旧梯折价费</w:t>
            </w:r>
          </w:p>
        </w:tc>
        <w:tc>
          <w:tcPr>
            <w:tcW w:w="876" w:type="pct"/>
            <w:noWrap/>
            <w:vAlign w:val="center"/>
          </w:tcPr>
          <w:p>
            <w:pPr>
              <w:spacing w:line="560" w:lineRule="exact"/>
              <w:jc w:val="center"/>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元</w:t>
            </w:r>
          </w:p>
        </w:tc>
        <w:tc>
          <w:tcPr>
            <w:tcW w:w="1358" w:type="pct"/>
            <w:noWrap/>
            <w:vAlign w:val="center"/>
          </w:tcPr>
          <w:p>
            <w:pPr>
              <w:spacing w:line="560" w:lineRule="exact"/>
              <w:jc w:val="center"/>
              <w:rPr>
                <w:rFonts w:hint="eastAsia" w:ascii="仿宋_GB2312" w:hAnsi="仿宋_GB2312" w:eastAsia="仿宋_GB2312" w:cs="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519" w:type="pct"/>
            <w:noWrap/>
            <w:vAlign w:val="center"/>
          </w:tcPr>
          <w:p>
            <w:pPr>
              <w:spacing w:line="560" w:lineRule="exact"/>
              <w:jc w:val="center"/>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4</w:t>
            </w:r>
          </w:p>
        </w:tc>
        <w:tc>
          <w:tcPr>
            <w:tcW w:w="2245" w:type="pct"/>
            <w:noWrap/>
            <w:vAlign w:val="center"/>
          </w:tcPr>
          <w:p>
            <w:pPr>
              <w:spacing w:line="560" w:lineRule="exact"/>
              <w:jc w:val="center"/>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合计</w:t>
            </w:r>
          </w:p>
        </w:tc>
        <w:tc>
          <w:tcPr>
            <w:tcW w:w="876" w:type="pct"/>
            <w:noWrap/>
            <w:vAlign w:val="center"/>
          </w:tcPr>
          <w:p>
            <w:pPr>
              <w:spacing w:line="560" w:lineRule="exact"/>
              <w:jc w:val="center"/>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元</w:t>
            </w:r>
          </w:p>
        </w:tc>
        <w:tc>
          <w:tcPr>
            <w:tcW w:w="1358" w:type="pct"/>
            <w:noWrap/>
            <w:vAlign w:val="center"/>
          </w:tcPr>
          <w:p>
            <w:pPr>
              <w:spacing w:line="560" w:lineRule="exact"/>
              <w:jc w:val="center"/>
              <w:rPr>
                <w:rFonts w:hint="eastAsia" w:ascii="仿宋_GB2312" w:hAnsi="仿宋_GB2312" w:eastAsia="仿宋_GB2312" w:cs="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5000" w:type="pct"/>
            <w:gridSpan w:val="4"/>
            <w:noWrap w:val="0"/>
            <w:vAlign w:val="center"/>
          </w:tcPr>
          <w:p>
            <w:pPr>
              <w:spacing w:line="560" w:lineRule="exact"/>
              <w:jc w:val="both"/>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备注：以上报价</w:t>
            </w:r>
            <w:r>
              <w:rPr>
                <w:rFonts w:hint="eastAsia" w:ascii="仿宋_GB2312" w:hAnsi="仿宋_GB2312" w:eastAsia="仿宋_GB2312" w:cs="仿宋_GB2312"/>
                <w:sz w:val="32"/>
                <w:szCs w:val="32"/>
                <w:lang w:eastAsia="zh-CN"/>
              </w:rPr>
              <w:t>需扣除旧梯折价款，并</w:t>
            </w:r>
            <w:r>
              <w:rPr>
                <w:rFonts w:hint="eastAsia" w:ascii="仿宋_GB2312" w:hAnsi="仿宋_GB2312" w:eastAsia="仿宋_GB2312" w:cs="仿宋_GB2312"/>
                <w:bCs/>
                <w:sz w:val="32"/>
                <w:szCs w:val="32"/>
              </w:rPr>
              <w:t>含运费、税费、搬运及安装、</w:t>
            </w:r>
            <w:r>
              <w:rPr>
                <w:rFonts w:hint="eastAsia" w:ascii="仿宋_GB2312" w:hAnsi="仿宋_GB2312" w:eastAsia="仿宋_GB2312" w:cs="仿宋_GB2312"/>
                <w:bCs/>
                <w:sz w:val="32"/>
                <w:szCs w:val="32"/>
                <w:lang w:val="en-US" w:eastAsia="zh-CN"/>
              </w:rPr>
              <w:t>土建整改费用，</w:t>
            </w:r>
            <w:r>
              <w:rPr>
                <w:rFonts w:hint="eastAsia" w:ascii="仿宋_GB2312" w:hAnsi="仿宋_GB2312" w:eastAsia="仿宋_GB2312" w:cs="仿宋_GB2312"/>
                <w:bCs/>
                <w:sz w:val="32"/>
                <w:szCs w:val="32"/>
              </w:rPr>
              <w:t>售后服务</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质保期限</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等各项费用</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旧梯折价费用负数表示</w:t>
            </w:r>
            <w:r>
              <w:rPr>
                <w:rFonts w:hint="eastAsia" w:ascii="仿宋_GB2312" w:hAnsi="仿宋_GB2312" w:eastAsia="仿宋_GB2312" w:cs="仿宋_GB2312"/>
                <w:bCs/>
                <w:sz w:val="32"/>
                <w:szCs w:val="32"/>
              </w:rPr>
              <w:t>。</w:t>
            </w:r>
          </w:p>
        </w:tc>
      </w:tr>
    </w:tbl>
    <w:p>
      <w:pPr>
        <w:rPr>
          <w:rFonts w:hint="eastAsia" w:ascii="宋体" w:hAnsi="宋体" w:eastAsia="宋体" w:cs="宋体"/>
          <w:color w:val="auto"/>
          <w:sz w:val="24"/>
          <w:szCs w:val="24"/>
          <w:highlight w:val="cyan"/>
          <w:lang w:val="en-US" w:eastAsia="zh-CN"/>
        </w:rPr>
      </w:pPr>
    </w:p>
    <w:p>
      <w:bookmarkStart w:id="2" w:name="_GoBack"/>
      <w:bookmarkEnd w:id="2"/>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5730BE"/>
    <w:multiLevelType w:val="singleLevel"/>
    <w:tmpl w:val="805730BE"/>
    <w:lvl w:ilvl="0" w:tentative="0">
      <w:start w:val="2"/>
      <w:numFmt w:val="chineseCounting"/>
      <w:suff w:val="nothing"/>
      <w:lvlText w:val="（%1）"/>
      <w:lvlJc w:val="left"/>
      <w:rPr>
        <w:rFonts w:hint="eastAsia"/>
      </w:rPr>
    </w:lvl>
  </w:abstractNum>
  <w:abstractNum w:abstractNumId="1">
    <w:nsid w:val="B5019810"/>
    <w:multiLevelType w:val="singleLevel"/>
    <w:tmpl w:val="B5019810"/>
    <w:lvl w:ilvl="0" w:tentative="0">
      <w:start w:val="2"/>
      <w:numFmt w:val="decimal"/>
      <w:suff w:val="nothing"/>
      <w:lvlText w:val="（%1）"/>
      <w:lvlJc w:val="left"/>
    </w:lvl>
  </w:abstractNum>
  <w:abstractNum w:abstractNumId="2">
    <w:nsid w:val="C34B7C8D"/>
    <w:multiLevelType w:val="singleLevel"/>
    <w:tmpl w:val="C34B7C8D"/>
    <w:lvl w:ilvl="0" w:tentative="0">
      <w:start w:val="1"/>
      <w:numFmt w:val="decimal"/>
      <w:lvlText w:val="%1."/>
      <w:lvlJc w:val="left"/>
      <w:pPr>
        <w:tabs>
          <w:tab w:val="left" w:pos="312"/>
        </w:tabs>
      </w:pPr>
    </w:lvl>
  </w:abstractNum>
  <w:abstractNum w:abstractNumId="3">
    <w:nsid w:val="E616E042"/>
    <w:multiLevelType w:val="singleLevel"/>
    <w:tmpl w:val="E616E042"/>
    <w:lvl w:ilvl="0" w:tentative="0">
      <w:start w:val="2"/>
      <w:numFmt w:val="chineseCounting"/>
      <w:suff w:val="nothing"/>
      <w:lvlText w:val="%1、"/>
      <w:lvlJc w:val="left"/>
      <w:rPr>
        <w:rFonts w:hint="eastAsia"/>
      </w:rPr>
    </w:lvl>
  </w:abstractNum>
  <w:abstractNum w:abstractNumId="4">
    <w:nsid w:val="7890FB22"/>
    <w:multiLevelType w:val="singleLevel"/>
    <w:tmpl w:val="7890FB22"/>
    <w:lvl w:ilvl="0" w:tentative="0">
      <w:start w:val="1"/>
      <w:numFmt w:val="decimal"/>
      <w:lvlText w:val="%1."/>
      <w:lvlJc w:val="left"/>
      <w:pPr>
        <w:tabs>
          <w:tab w:val="left" w:pos="312"/>
        </w:tabs>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7796349"/>
    <w:rsid w:val="083F66C3"/>
    <w:rsid w:val="0C1E4474"/>
    <w:rsid w:val="0C556A1C"/>
    <w:rsid w:val="0E8B27CF"/>
    <w:rsid w:val="126B3CDB"/>
    <w:rsid w:val="129E527F"/>
    <w:rsid w:val="12BF02B6"/>
    <w:rsid w:val="12D83D85"/>
    <w:rsid w:val="15753D2B"/>
    <w:rsid w:val="1A002902"/>
    <w:rsid w:val="1B3B1658"/>
    <w:rsid w:val="1BDA14AF"/>
    <w:rsid w:val="1D03460E"/>
    <w:rsid w:val="1F937390"/>
    <w:rsid w:val="20D277A0"/>
    <w:rsid w:val="233F4E63"/>
    <w:rsid w:val="25400859"/>
    <w:rsid w:val="27177672"/>
    <w:rsid w:val="27C43285"/>
    <w:rsid w:val="2912062F"/>
    <w:rsid w:val="29C0769A"/>
    <w:rsid w:val="2A8C4DC6"/>
    <w:rsid w:val="2EB22EE2"/>
    <w:rsid w:val="2F9467A9"/>
    <w:rsid w:val="30C65D46"/>
    <w:rsid w:val="311469E6"/>
    <w:rsid w:val="31AD13C4"/>
    <w:rsid w:val="31F02F20"/>
    <w:rsid w:val="3200248B"/>
    <w:rsid w:val="32876304"/>
    <w:rsid w:val="32D8051B"/>
    <w:rsid w:val="33667D49"/>
    <w:rsid w:val="338A05E8"/>
    <w:rsid w:val="39AB1652"/>
    <w:rsid w:val="3A0D04A3"/>
    <w:rsid w:val="3B366E92"/>
    <w:rsid w:val="3B582EDF"/>
    <w:rsid w:val="3D09223A"/>
    <w:rsid w:val="3D456F30"/>
    <w:rsid w:val="3EAE1148"/>
    <w:rsid w:val="4199302C"/>
    <w:rsid w:val="42730E06"/>
    <w:rsid w:val="46450240"/>
    <w:rsid w:val="476F36E5"/>
    <w:rsid w:val="48A06FE7"/>
    <w:rsid w:val="48FE6CDB"/>
    <w:rsid w:val="4AE92DC6"/>
    <w:rsid w:val="4B0561C1"/>
    <w:rsid w:val="4C1B19B4"/>
    <w:rsid w:val="4D231C06"/>
    <w:rsid w:val="51422E4F"/>
    <w:rsid w:val="51EE3B97"/>
    <w:rsid w:val="527C1449"/>
    <w:rsid w:val="54580DD6"/>
    <w:rsid w:val="56975A7B"/>
    <w:rsid w:val="56C80AF1"/>
    <w:rsid w:val="56F86AFC"/>
    <w:rsid w:val="57030DBA"/>
    <w:rsid w:val="578E0271"/>
    <w:rsid w:val="5B5149EB"/>
    <w:rsid w:val="5E690830"/>
    <w:rsid w:val="5FAF2DB4"/>
    <w:rsid w:val="63423FDB"/>
    <w:rsid w:val="63E37F18"/>
    <w:rsid w:val="641E28D5"/>
    <w:rsid w:val="672204A7"/>
    <w:rsid w:val="67491C63"/>
    <w:rsid w:val="6823254E"/>
    <w:rsid w:val="69CA50FF"/>
    <w:rsid w:val="6AE41559"/>
    <w:rsid w:val="6E46636E"/>
    <w:rsid w:val="6FAE5BAA"/>
    <w:rsid w:val="70BD60B7"/>
    <w:rsid w:val="70CD6C5E"/>
    <w:rsid w:val="70F121C0"/>
    <w:rsid w:val="723F172D"/>
    <w:rsid w:val="72C57E4E"/>
    <w:rsid w:val="72F55F4B"/>
    <w:rsid w:val="73482AB1"/>
    <w:rsid w:val="74507772"/>
    <w:rsid w:val="74E74C92"/>
    <w:rsid w:val="75B0150C"/>
    <w:rsid w:val="778F1C6E"/>
    <w:rsid w:val="79AE4BD3"/>
    <w:rsid w:val="7A533B56"/>
    <w:rsid w:val="7A66771C"/>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List Paragraph"/>
    <w:basedOn w:val="1"/>
    <w:qFormat/>
    <w:uiPriority w:val="1"/>
    <w:pPr>
      <w:spacing w:before="152"/>
      <w:ind w:left="649" w:hanging="530"/>
    </w:pPr>
    <w:rPr>
      <w:rFonts w:ascii="等线" w:hAnsi="等线" w:eastAsia="等线" w:cs="等线"/>
      <w:lang w:val="zh-CN" w:bidi="zh-CN"/>
    </w:rPr>
  </w:style>
  <w:style w:type="paragraph" w:customStyle="1" w:styleId="11">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2">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2024-12-20T06:40:58Z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